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C0" w:rsidRPr="00DB63F0" w:rsidRDefault="004205C0" w:rsidP="004205C0">
      <w:pPr>
        <w:pStyle w:val="Header"/>
        <w:ind w:right="360"/>
        <w:jc w:val="right"/>
        <w:rPr>
          <w:rFonts w:ascii="Times New Roman" w:hAnsi="Times New Roman"/>
          <w:sz w:val="24"/>
          <w:szCs w:val="24"/>
        </w:rPr>
      </w:pPr>
      <w:bookmarkStart w:id="0" w:name="_GoBack"/>
      <w:bookmarkEnd w:id="0"/>
      <w:r w:rsidRPr="00DB63F0">
        <w:rPr>
          <w:rFonts w:ascii="Times New Roman" w:hAnsi="Times New Roman"/>
          <w:sz w:val="24"/>
          <w:szCs w:val="24"/>
        </w:rPr>
        <w:t>Projekts</w:t>
      </w:r>
    </w:p>
    <w:p w:rsidR="00676088" w:rsidRPr="00DB63F0" w:rsidRDefault="00676088" w:rsidP="00533FC4">
      <w:pPr>
        <w:pStyle w:val="Header"/>
        <w:ind w:right="360"/>
        <w:jc w:val="center"/>
        <w:rPr>
          <w:rFonts w:ascii="Times New Roman" w:hAnsi="Times New Roman"/>
          <w:sz w:val="24"/>
          <w:szCs w:val="24"/>
        </w:rPr>
      </w:pPr>
    </w:p>
    <w:p w:rsidR="00533FC4" w:rsidRPr="00DB63F0" w:rsidRDefault="00896A3F" w:rsidP="00076E81">
      <w:pPr>
        <w:pStyle w:val="Header"/>
        <w:ind w:right="360"/>
        <w:jc w:val="center"/>
        <w:rPr>
          <w:rFonts w:ascii="Times New Roman" w:hAnsi="Times New Roman"/>
          <w:b/>
          <w:sz w:val="24"/>
          <w:szCs w:val="24"/>
        </w:rPr>
      </w:pPr>
      <w:r w:rsidRPr="00DB63F0">
        <w:rPr>
          <w:rFonts w:ascii="Times New Roman" w:hAnsi="Times New Roman"/>
          <w:b/>
          <w:sz w:val="24"/>
          <w:szCs w:val="24"/>
        </w:rPr>
        <w:t>Likumprojekta „</w:t>
      </w:r>
      <w:r w:rsidRPr="00DB63F0">
        <w:rPr>
          <w:rFonts w:ascii="Times New Roman" w:hAnsi="Times New Roman"/>
          <w:b/>
          <w:bCs/>
          <w:sz w:val="24"/>
          <w:szCs w:val="24"/>
        </w:rPr>
        <w:t>Grozījum</w:t>
      </w:r>
      <w:r w:rsidR="00797D26" w:rsidRPr="00DB63F0">
        <w:rPr>
          <w:rFonts w:ascii="Times New Roman" w:hAnsi="Times New Roman"/>
          <w:b/>
          <w:bCs/>
          <w:sz w:val="24"/>
          <w:szCs w:val="24"/>
        </w:rPr>
        <w:t>i</w:t>
      </w:r>
      <w:r w:rsidRPr="00DB63F0">
        <w:rPr>
          <w:rFonts w:ascii="Times New Roman" w:hAnsi="Times New Roman"/>
          <w:b/>
          <w:bCs/>
          <w:sz w:val="24"/>
          <w:szCs w:val="24"/>
        </w:rPr>
        <w:t xml:space="preserve"> likumā „Par valsts noslēpumu</w:t>
      </w:r>
      <w:r w:rsidR="004205C0" w:rsidRPr="00DB63F0">
        <w:rPr>
          <w:rFonts w:ascii="Times New Roman" w:hAnsi="Times New Roman"/>
          <w:b/>
          <w:bCs/>
          <w:sz w:val="24"/>
          <w:szCs w:val="24"/>
        </w:rPr>
        <w:t>””</w:t>
      </w:r>
    </w:p>
    <w:p w:rsidR="00533FC4" w:rsidRPr="00DB63F0" w:rsidRDefault="00533FC4" w:rsidP="00533FC4">
      <w:pPr>
        <w:pStyle w:val="Header"/>
        <w:ind w:right="360"/>
        <w:jc w:val="center"/>
        <w:rPr>
          <w:rFonts w:ascii="Times New Roman" w:hAnsi="Times New Roman"/>
          <w:b/>
          <w:sz w:val="24"/>
          <w:szCs w:val="24"/>
        </w:rPr>
      </w:pPr>
      <w:r w:rsidRPr="00DB63F0">
        <w:rPr>
          <w:rFonts w:ascii="Times New Roman" w:hAnsi="Times New Roman"/>
          <w:b/>
          <w:sz w:val="24"/>
          <w:szCs w:val="24"/>
        </w:rPr>
        <w:t xml:space="preserve">sākotnējās ietekmes </w:t>
      </w:r>
      <w:r w:rsidR="00543C96" w:rsidRPr="00543C96">
        <w:rPr>
          <w:rFonts w:ascii="Times New Roman" w:hAnsi="Times New Roman"/>
          <w:b/>
          <w:sz w:val="24"/>
          <w:szCs w:val="24"/>
        </w:rPr>
        <w:t>novērtējuma ziņojums</w:t>
      </w:r>
    </w:p>
    <w:p w:rsidR="00533FC4" w:rsidRPr="00DB63F0" w:rsidRDefault="00533FC4" w:rsidP="00533FC4">
      <w:pPr>
        <w:pStyle w:val="Header"/>
        <w:ind w:right="360"/>
        <w:jc w:val="center"/>
        <w:rPr>
          <w:rFonts w:ascii="Times New Roman" w:hAnsi="Times New Roman"/>
          <w:sz w:val="24"/>
          <w:szCs w:val="24"/>
        </w:rPr>
      </w:pPr>
      <w:r w:rsidRPr="00DB63F0">
        <w:rPr>
          <w:rFonts w:ascii="Times New Roman" w:hAnsi="Times New Roman"/>
          <w:b/>
          <w:sz w:val="24"/>
          <w:szCs w:val="24"/>
        </w:rPr>
        <w:t>(anotācija)</w:t>
      </w:r>
    </w:p>
    <w:p w:rsidR="00533FC4" w:rsidRPr="00DB63F0" w:rsidRDefault="00533FC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23"/>
        <w:gridCol w:w="1887"/>
        <w:gridCol w:w="7011"/>
      </w:tblGrid>
      <w:tr w:rsidR="00533FC4" w:rsidRPr="00FD55CA">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533FC4" w:rsidRPr="00DB63F0" w:rsidRDefault="00533FC4" w:rsidP="00B35009">
            <w:pPr>
              <w:pStyle w:val="tvhtmlmktable"/>
              <w:jc w:val="center"/>
            </w:pPr>
            <w:r w:rsidRPr="00DB63F0">
              <w:rPr>
                <w:b/>
                <w:bCs/>
              </w:rPr>
              <w:t>I. Tiesību akta projekta izstrādes nepieciešamība</w:t>
            </w:r>
          </w:p>
        </w:tc>
      </w:tr>
      <w:tr w:rsidR="00533FC4" w:rsidRPr="00FD55C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1.</w:t>
            </w:r>
          </w:p>
        </w:tc>
        <w:tc>
          <w:tcPr>
            <w:tcW w:w="100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Pamatojums</w:t>
            </w:r>
          </w:p>
        </w:tc>
        <w:tc>
          <w:tcPr>
            <w:tcW w:w="3750" w:type="pct"/>
            <w:tcBorders>
              <w:top w:val="outset" w:sz="6" w:space="0" w:color="auto"/>
              <w:left w:val="outset" w:sz="6" w:space="0" w:color="auto"/>
              <w:bottom w:val="outset" w:sz="6" w:space="0" w:color="auto"/>
              <w:right w:val="outset" w:sz="6" w:space="0" w:color="auto"/>
            </w:tcBorders>
          </w:tcPr>
          <w:p w:rsidR="00EF088C" w:rsidRPr="00EF088C" w:rsidRDefault="0086378C" w:rsidP="00B52DAC">
            <w:pPr>
              <w:pStyle w:val="tvhtmlmktable"/>
              <w:jc w:val="both"/>
            </w:pPr>
            <w:r>
              <w:rPr>
                <w:lang w:eastAsia="en-US"/>
              </w:rPr>
              <w:t>Ministru kabineta 2012.gada 10.</w:t>
            </w:r>
            <w:r w:rsidR="00EF088C" w:rsidRPr="00EF088C">
              <w:rPr>
                <w:lang w:eastAsia="en-US"/>
              </w:rPr>
              <w:t>jūlija sēdes (prot.</w:t>
            </w:r>
            <w:r w:rsidR="009623E9">
              <w:rPr>
                <w:lang w:eastAsia="en-US"/>
              </w:rPr>
              <w:t> </w:t>
            </w:r>
            <w:r w:rsidR="00EF088C" w:rsidRPr="00EF088C">
              <w:rPr>
                <w:lang w:eastAsia="en-US"/>
              </w:rPr>
              <w:t>Nr.</w:t>
            </w:r>
            <w:r w:rsidR="009623E9">
              <w:rPr>
                <w:lang w:eastAsia="en-US"/>
              </w:rPr>
              <w:t> </w:t>
            </w:r>
            <w:r w:rsidR="00EF088C" w:rsidRPr="00EF088C">
              <w:rPr>
                <w:lang w:eastAsia="en-US"/>
              </w:rPr>
              <w:t xml:space="preserve">39 </w:t>
            </w:r>
            <w:r>
              <w:rPr>
                <w:lang w:eastAsia="en-US"/>
              </w:rPr>
              <w:t>1.§) 2.</w:t>
            </w:r>
            <w:r w:rsidR="00EF088C" w:rsidRPr="00EF088C">
              <w:rPr>
                <w:lang w:eastAsia="en-US"/>
              </w:rPr>
              <w:t>punktā paredzēt</w:t>
            </w:r>
            <w:r w:rsidR="00B52DAC">
              <w:rPr>
                <w:lang w:eastAsia="en-US"/>
              </w:rPr>
              <w:t>ai</w:t>
            </w:r>
            <w:r w:rsidR="00EF088C" w:rsidRPr="00EF088C">
              <w:rPr>
                <w:lang w:eastAsia="en-US"/>
              </w:rPr>
              <w:t>s uzdevums</w:t>
            </w:r>
            <w:r w:rsidR="00B52DAC">
              <w:rPr>
                <w:lang w:eastAsia="en-US"/>
              </w:rPr>
              <w:t>.</w:t>
            </w:r>
            <w:r w:rsidR="00EF088C" w:rsidRPr="00EF088C">
              <w:rPr>
                <w:lang w:eastAsia="en-US"/>
              </w:rPr>
              <w:t xml:space="preserve"> </w:t>
            </w:r>
          </w:p>
          <w:p w:rsidR="00B52DAC" w:rsidRPr="00B52DAC" w:rsidRDefault="00B52DAC" w:rsidP="00B52DAC">
            <w:pPr>
              <w:pStyle w:val="tvhtmlmktable"/>
              <w:jc w:val="both"/>
            </w:pPr>
            <w:r w:rsidRPr="00B52DAC">
              <w:t>Ministru kabineta 2012.gada 10.aprīļa sēdes (prot.</w:t>
            </w:r>
            <w:r w:rsidR="009623E9">
              <w:t> </w:t>
            </w:r>
            <w:r w:rsidRPr="00B52DAC">
              <w:t>Nr.</w:t>
            </w:r>
            <w:r w:rsidR="009623E9">
              <w:t> </w:t>
            </w:r>
            <w:r w:rsidRPr="00B52DAC">
              <w:t>19 39.§) 2.punktā paredzētais uzdevums</w:t>
            </w:r>
            <w:r>
              <w:t>.</w:t>
            </w:r>
            <w:r w:rsidRPr="00B52DAC">
              <w:t xml:space="preserve"> </w:t>
            </w:r>
          </w:p>
          <w:p w:rsidR="00533FC4" w:rsidRPr="00B52DAC" w:rsidRDefault="00B52DAC" w:rsidP="0086378C">
            <w:pPr>
              <w:pStyle w:val="tvhtmlmktable"/>
              <w:jc w:val="both"/>
              <w:rPr>
                <w:noProof/>
                <w:color w:val="000000"/>
              </w:rPr>
            </w:pPr>
            <w:r w:rsidRPr="00B52DAC">
              <w:t>Latvijas Administratīvo pārkāpumu kodeks</w:t>
            </w:r>
            <w:r>
              <w:t>a</w:t>
            </w:r>
            <w:r w:rsidRPr="00B52DAC">
              <w:t xml:space="preserve"> Pārejas noteikumu 13.punktā paredzēt</w:t>
            </w:r>
            <w:r w:rsidR="00BD06F1">
              <w:t>ais regulējums par</w:t>
            </w:r>
            <w:r w:rsidRPr="00B52DAC">
              <w:t xml:space="preserve"> administratīvo pārkāpumu lietu piekritības maiņu no administratīvajām tiesām uz vispārējās jurisdikcijas tiesām.</w:t>
            </w:r>
          </w:p>
        </w:tc>
      </w:tr>
      <w:tr w:rsidR="00533FC4" w:rsidRPr="00FD55C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2.</w:t>
            </w:r>
          </w:p>
        </w:tc>
        <w:tc>
          <w:tcPr>
            <w:tcW w:w="100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Pašreizējā situācija un problēmas</w:t>
            </w:r>
          </w:p>
        </w:tc>
        <w:tc>
          <w:tcPr>
            <w:tcW w:w="3750" w:type="pct"/>
            <w:tcBorders>
              <w:top w:val="outset" w:sz="6" w:space="0" w:color="auto"/>
              <w:left w:val="outset" w:sz="6" w:space="0" w:color="auto"/>
              <w:bottom w:val="outset" w:sz="6" w:space="0" w:color="auto"/>
              <w:right w:val="outset" w:sz="6" w:space="0" w:color="auto"/>
            </w:tcBorders>
          </w:tcPr>
          <w:p w:rsidR="00FD6BC8" w:rsidRPr="00DB63F0" w:rsidRDefault="00FE3DC8" w:rsidP="00A04024">
            <w:pPr>
              <w:jc w:val="both"/>
            </w:pPr>
            <w:r w:rsidRPr="00DB63F0">
              <w:t>Likuma „Par valsts noslēpumu”</w:t>
            </w:r>
            <w:r w:rsidR="00356E0F" w:rsidRPr="00DB63F0">
              <w:t xml:space="preserve"> (turpmāk – likums)</w:t>
            </w:r>
            <w:r w:rsidR="004B4637" w:rsidRPr="00DB63F0">
              <w:t xml:space="preserve"> </w:t>
            </w:r>
            <w:r w:rsidRPr="00DB63F0">
              <w:t>2.</w:t>
            </w:r>
            <w:r w:rsidR="00DB63F0">
              <w:t> </w:t>
            </w:r>
            <w:r w:rsidRPr="00DB63F0">
              <w:t xml:space="preserve">panta </w:t>
            </w:r>
            <w:r w:rsidR="004B4637" w:rsidRPr="00DB63F0">
              <w:t>pirmā daļa nosaka, ka valsts noslēpums ir tāda militāra, politiska, ekonomiska, zinātniska, tehniska vai cita rakstura informācija, kura iekļauta Ministru kabineta apstiprinātā sarakstā un kuras nozaudēšana vai nelikumīga izpaušana var nodarīt kaitējumu valsts drošībai, ekonomiskajām vai politiskajām interesēm. Savukārt</w:t>
            </w:r>
            <w:r w:rsidR="007A699A" w:rsidRPr="00DB63F0">
              <w:t xml:space="preserve"> likuma</w:t>
            </w:r>
            <w:r w:rsidR="004B4637" w:rsidRPr="00DB63F0">
              <w:t xml:space="preserve"> 2.panta </w:t>
            </w:r>
            <w:r w:rsidRPr="00DB63F0">
              <w:t>trešā daļa nosaka, ka valsts noslēpuma objekts ir informācija (ziņa, ziņu kopums) jebkurā tehniski iespējamā tās fiksēšanas veidā, kura saskaņā ar šo likumu ir atzīta vai var tikt atzīta par valsts noslēpumu, kā arī materiāls objekts, priekšmets, viela vai elektromagnētiskais lauks, kas ietver, uzglabā, uzkrāj vai atspoguļo informāciju, kura likumā noteiktajā kārtībā atzīta par valsts noslēpumu.</w:t>
            </w:r>
          </w:p>
          <w:p w:rsidR="00DB63F0" w:rsidRPr="00DB63F0" w:rsidRDefault="00DB63F0" w:rsidP="00DB63F0">
            <w:pPr>
              <w:jc w:val="both"/>
            </w:pPr>
            <w:r w:rsidRPr="00DB63F0">
              <w:t xml:space="preserve">Šobrīd Nacionālo bruņoto spēku rīcībā ir </w:t>
            </w:r>
            <w:r w:rsidR="009623E9">
              <w:t>materiāltehniskie līdzekļi (</w:t>
            </w:r>
            <w:r w:rsidR="009623E9" w:rsidRPr="009623E9">
              <w:t>turpmāk –</w:t>
            </w:r>
            <w:r w:rsidR="009623E9">
              <w:t xml:space="preserve"> </w:t>
            </w:r>
            <w:r w:rsidRPr="00DB63F0">
              <w:t>MTL</w:t>
            </w:r>
            <w:r w:rsidR="009623E9">
              <w:t>)</w:t>
            </w:r>
            <w:r w:rsidRPr="00DB63F0">
              <w:t>, kuru sastāvdaļas saskaņā ar noslēgto pirkuma līgumu ir jāaizsargā atbilstoši tam, kā tiek aizsargāts valsts noslēpuma objekts. T</w:t>
            </w:r>
            <w:r>
              <w:t xml:space="preserve">āpat arī </w:t>
            </w:r>
            <w:r w:rsidRPr="00DB63F0">
              <w:t xml:space="preserve">pastāv iespējas, ka </w:t>
            </w:r>
            <w:r w:rsidR="007065EF">
              <w:t>tādi</w:t>
            </w:r>
            <w:r>
              <w:t xml:space="preserve"> </w:t>
            </w:r>
            <w:r w:rsidRPr="00DB63F0">
              <w:t>MTL</w:t>
            </w:r>
            <w:r w:rsidR="007065EF">
              <w:t>, kas jāaizsargā kā valsts noslēpuma objekti,</w:t>
            </w:r>
            <w:r w:rsidRPr="00DB63F0">
              <w:t xml:space="preserve"> varētu būt arī </w:t>
            </w:r>
            <w:r w:rsidR="007065EF">
              <w:t xml:space="preserve">citu </w:t>
            </w:r>
            <w:r>
              <w:t>valsts pārvaldes institūcij</w:t>
            </w:r>
            <w:r w:rsidR="007065EF">
              <w:t>u rīcībā</w:t>
            </w:r>
            <w:r>
              <w:t xml:space="preserve">, kuru kompetencē ir </w:t>
            </w:r>
            <w:r w:rsidRPr="00DB63F0">
              <w:t>izlūkošanas, pretizlūkošanas vai policejisku funkciju nodrošināšana.</w:t>
            </w:r>
            <w:r>
              <w:t xml:space="preserve"> </w:t>
            </w:r>
            <w:r w:rsidRPr="00DB63F0">
              <w:t xml:space="preserve">Katram MTL veidam to ražotājs ir paredzējis noteiktu lietošanas kārtību un uzglabāšanas prasības. </w:t>
            </w:r>
            <w:r>
              <w:t>Vienlaicīgi k</w:t>
            </w:r>
            <w:r w:rsidRPr="00DB63F0">
              <w:t xml:space="preserve">atrs MTL veids ir paredzēts kādu konkrētu funkciju veikšanai. </w:t>
            </w:r>
            <w:r w:rsidRPr="00DB63F0">
              <w:rPr>
                <w:lang w:eastAsia="en-US"/>
              </w:rPr>
              <w:t xml:space="preserve">MTL uzskaite noliktavā nodrošina kontroli pār </w:t>
            </w:r>
            <w:smartTag w:uri="schemas-tilde-lv/tildestengine" w:element="currency">
              <w:smartTagPr>
                <w:attr w:name="currency_text" w:val="MTL"/>
                <w:attr w:name="currency_value" w:val="1"/>
                <w:attr w:name="currency_key" w:val="MTL"/>
                <w:attr w:name="currency_id" w:val="33"/>
              </w:smartTagPr>
              <w:r w:rsidRPr="00DB63F0">
                <w:rPr>
                  <w:lang w:eastAsia="en-US"/>
                </w:rPr>
                <w:t>MTL</w:t>
              </w:r>
            </w:smartTag>
            <w:r w:rsidRPr="00DB63F0">
              <w:rPr>
                <w:lang w:eastAsia="en-US"/>
              </w:rPr>
              <w:t xml:space="preserve"> saglabāšanu un izlietošanu paredzētajiem mērķiem,</w:t>
            </w:r>
            <w:r w:rsidR="00FE03A9" w:rsidRPr="00DB63F0">
              <w:rPr>
                <w:lang w:eastAsia="en-US"/>
              </w:rPr>
              <w:t xml:space="preserve"> </w:t>
            </w:r>
            <w:r w:rsidRPr="00DB63F0">
              <w:rPr>
                <w:lang w:eastAsia="en-US"/>
              </w:rPr>
              <w:t>precīzi atspoguļo</w:t>
            </w:r>
            <w:r w:rsidR="005D497B">
              <w:rPr>
                <w:lang w:eastAsia="en-US"/>
              </w:rPr>
              <w:t>jo</w:t>
            </w:r>
            <w:r>
              <w:rPr>
                <w:lang w:eastAsia="en-US"/>
              </w:rPr>
              <w:t>t</w:t>
            </w:r>
            <w:r w:rsidRPr="00DB63F0">
              <w:rPr>
                <w:lang w:eastAsia="en-US"/>
              </w:rPr>
              <w:t xml:space="preserve"> </w:t>
            </w:r>
            <w:smartTag w:uri="schemas-tilde-lv/tildestengine" w:element="currency">
              <w:smartTagPr>
                <w:attr w:name="currency_text" w:val="MTL"/>
                <w:attr w:name="currency_value" w:val="1"/>
                <w:attr w:name="currency_key" w:val="MTL"/>
                <w:attr w:name="currency_id" w:val="33"/>
              </w:smartTagPr>
              <w:r w:rsidRPr="00DB63F0">
                <w:rPr>
                  <w:lang w:eastAsia="en-US"/>
                </w:rPr>
                <w:t>MTL</w:t>
              </w:r>
            </w:smartTag>
            <w:r w:rsidRPr="00DB63F0">
              <w:rPr>
                <w:lang w:eastAsia="en-US"/>
              </w:rPr>
              <w:t xml:space="preserve"> kustīb</w:t>
            </w:r>
            <w:r>
              <w:t>u</w:t>
            </w:r>
            <w:r w:rsidRPr="00DB63F0">
              <w:rPr>
                <w:lang w:eastAsia="en-US"/>
              </w:rPr>
              <w:t xml:space="preserve"> – saņemšan</w:t>
            </w:r>
            <w:r>
              <w:rPr>
                <w:lang w:eastAsia="en-US"/>
              </w:rPr>
              <w:t>u</w:t>
            </w:r>
            <w:r w:rsidRPr="00DB63F0">
              <w:rPr>
                <w:lang w:eastAsia="en-US"/>
              </w:rPr>
              <w:t xml:space="preserve"> un izsniegšan</w:t>
            </w:r>
            <w:r>
              <w:rPr>
                <w:lang w:eastAsia="en-US"/>
              </w:rPr>
              <w:t>u</w:t>
            </w:r>
            <w:r w:rsidRPr="00DB63F0">
              <w:rPr>
                <w:lang w:eastAsia="en-US"/>
              </w:rPr>
              <w:t xml:space="preserve">. </w:t>
            </w:r>
            <w:r w:rsidRPr="00DB63F0">
              <w:t>MTL saglabāšanas nodrošināšana ir fiziskās drošības pasākum</w:t>
            </w:r>
            <w:r>
              <w:t>u kopums</w:t>
            </w:r>
            <w:r w:rsidRPr="00DB63F0">
              <w:t>, kurus institūcija realizē, ierīkojot piemērotas aizsardzības metodes, piemēram, signalizāciju</w:t>
            </w:r>
            <w:r w:rsidR="00F8292B">
              <w:t>,</w:t>
            </w:r>
            <w:r w:rsidRPr="00DB63F0">
              <w:t xml:space="preserve"> un uzstādot ugunsdrošības ierīces, ierīkojot ugunsdrošus skapjus, ierobežojot pieeju objektiem ar caurlaides palīdzību u.tml. </w:t>
            </w:r>
          </w:p>
          <w:p w:rsidR="004A398B" w:rsidRPr="00DB63F0" w:rsidRDefault="004B4637" w:rsidP="004A398B">
            <w:pPr>
              <w:jc w:val="both"/>
            </w:pPr>
            <w:r w:rsidRPr="00DB63F0">
              <w:t>P</w:t>
            </w:r>
            <w:r w:rsidR="00CF3F35" w:rsidRPr="00DB63F0">
              <w:t xml:space="preserve">amatojoties uz </w:t>
            </w:r>
            <w:r w:rsidR="00B35009" w:rsidRPr="00DB63F0">
              <w:t>likum</w:t>
            </w:r>
            <w:r w:rsidR="00CF3F35" w:rsidRPr="00DB63F0">
              <w:t>a</w:t>
            </w:r>
            <w:r w:rsidR="00B35009" w:rsidRPr="00DB63F0">
              <w:t xml:space="preserve"> </w:t>
            </w:r>
            <w:r w:rsidR="008A56D3" w:rsidRPr="00DB63F0">
              <w:rPr>
                <w:iCs/>
              </w:rPr>
              <w:t>6.panta trešo daļu,</w:t>
            </w:r>
            <w:r w:rsidR="00A04024" w:rsidRPr="00DB63F0">
              <w:rPr>
                <w:iCs/>
              </w:rPr>
              <w:t xml:space="preserve"> 7.panta otro, ceturto un astoto daļu, 11.panta ceturto daļu un 15.panta otro daļu</w:t>
            </w:r>
            <w:r w:rsidRPr="00DB63F0">
              <w:rPr>
                <w:iCs/>
              </w:rPr>
              <w:t xml:space="preserve">, </w:t>
            </w:r>
            <w:r w:rsidR="00CF3F35" w:rsidRPr="00DB63F0">
              <w:t xml:space="preserve">ir </w:t>
            </w:r>
            <w:r w:rsidR="00FD6BC8" w:rsidRPr="00DB63F0">
              <w:t>izdoti</w:t>
            </w:r>
            <w:r w:rsidR="00C56DCC" w:rsidRPr="00DB63F0">
              <w:rPr>
                <w:bCs/>
              </w:rPr>
              <w:t xml:space="preserve"> Ministru kabineta 2004.gada 6.janvāra noteikumi Nr.21 „Valsts noslēpuma, Ziemeļatlantijas līguma organizācijas, Eiropas Savienības un ārvalstu institūciju klasificētās informācijas aizsardzības noteikumi” (turpmāk – </w:t>
            </w:r>
            <w:r w:rsidR="00C56DCC" w:rsidRPr="00DB63F0">
              <w:rPr>
                <w:noProof/>
                <w:color w:val="000000"/>
              </w:rPr>
              <w:t>noteikumi Nr.21)</w:t>
            </w:r>
            <w:r w:rsidR="00CF3F35" w:rsidRPr="00DB63F0">
              <w:t xml:space="preserve">. </w:t>
            </w:r>
            <w:r w:rsidR="00B77BD4" w:rsidRPr="00DB63F0">
              <w:t>N</w:t>
            </w:r>
            <w:r w:rsidR="00487D25" w:rsidRPr="00DB63F0">
              <w:t>oteikum</w:t>
            </w:r>
            <w:r w:rsidR="00B77BD4" w:rsidRPr="00DB63F0">
              <w:t xml:space="preserve">u </w:t>
            </w:r>
            <w:r w:rsidR="00FD6BC8" w:rsidRPr="00DB63F0">
              <w:t xml:space="preserve">Nr.21 </w:t>
            </w:r>
            <w:r w:rsidR="00B77BD4" w:rsidRPr="00DB63F0">
              <w:t xml:space="preserve">1.punktā minēts, ka tie </w:t>
            </w:r>
            <w:r w:rsidR="00B77BD4" w:rsidRPr="00DB63F0">
              <w:lastRenderedPageBreak/>
              <w:t>nosaka</w:t>
            </w:r>
            <w:r w:rsidRPr="00DB63F0">
              <w:t xml:space="preserve"> vienotu valsts noslēpuma, NATO, Eiropas Savienības un ārvalstu institūciju klasificētās informācijas aizsardzības režīmu valsts un pašvaldību institūcijās un sevišķās lietvedības kārtību, speciālo apzīmējumu un kodu lietošanas kārtību, kā arī slepenības režīma uzraudzības un dienesta izmeklēšanas kārtību. </w:t>
            </w:r>
            <w:r w:rsidR="00AB1EAD" w:rsidRPr="00DB63F0">
              <w:t xml:space="preserve">Aizsardzības ministrija, </w:t>
            </w:r>
            <w:r w:rsidR="009D3E05" w:rsidRPr="00DB63F0">
              <w:t>veicot pasākumus</w:t>
            </w:r>
            <w:r w:rsidR="00B1681B" w:rsidRPr="00DB63F0">
              <w:t xml:space="preserve"> </w:t>
            </w:r>
            <w:r w:rsidR="00F8292B">
              <w:t xml:space="preserve">to </w:t>
            </w:r>
            <w:r w:rsidR="00B1681B" w:rsidRPr="00DB63F0">
              <w:t>MTL</w:t>
            </w:r>
            <w:r w:rsidR="00F8292B" w:rsidRPr="00DB63F0">
              <w:t xml:space="preserve"> saglabāšanai, uzturēšanai lietošanas kārtībā un pareizai izmantošanai</w:t>
            </w:r>
            <w:r w:rsidR="00B1681B" w:rsidRPr="00DB63F0">
              <w:t>,</w:t>
            </w:r>
            <w:r w:rsidR="004759B7" w:rsidRPr="00DB63F0">
              <w:t xml:space="preserve"> kur</w:t>
            </w:r>
            <w:r w:rsidR="00B1681B" w:rsidRPr="00DB63F0">
              <w:t>ie</w:t>
            </w:r>
            <w:r w:rsidR="004759B7" w:rsidRPr="00DB63F0">
              <w:t>m noteikts valsts noslēpuma objekta statuss,</w:t>
            </w:r>
            <w:r w:rsidR="00935CA1" w:rsidRPr="00DB63F0">
              <w:t xml:space="preserve"> </w:t>
            </w:r>
            <w:r w:rsidR="009D3E05" w:rsidRPr="00DB63F0">
              <w:t>ir saskārusies ar grūtīb</w:t>
            </w:r>
            <w:r w:rsidR="00C56DCC" w:rsidRPr="00DB63F0">
              <w:t>ām</w:t>
            </w:r>
            <w:r w:rsidR="00734377">
              <w:t>,</w:t>
            </w:r>
            <w:r w:rsidR="00612245" w:rsidRPr="00DB63F0">
              <w:t xml:space="preserve"> piemērojot </w:t>
            </w:r>
            <w:r w:rsidR="00734377">
              <w:t>n</w:t>
            </w:r>
            <w:r w:rsidR="00612245" w:rsidRPr="00DB63F0">
              <w:t>oteikumus Nr.21</w:t>
            </w:r>
            <w:r w:rsidR="004A398B" w:rsidRPr="00DB63F0">
              <w:t>.</w:t>
            </w:r>
            <w:r w:rsidR="00C56DCC" w:rsidRPr="00DB63F0">
              <w:t xml:space="preserve"> </w:t>
            </w:r>
            <w:r w:rsidR="004A398B" w:rsidRPr="00DB63F0">
              <w:t>N</w:t>
            </w:r>
            <w:r w:rsidR="008622E4" w:rsidRPr="00DB63F0">
              <w:t>av iespējams</w:t>
            </w:r>
            <w:r w:rsidR="00C56DCC" w:rsidRPr="00DB63F0">
              <w:t xml:space="preserve"> </w:t>
            </w:r>
            <w:r w:rsidR="00612245" w:rsidRPr="00DB63F0">
              <w:t>realizēt</w:t>
            </w:r>
            <w:r w:rsidR="00C56DCC" w:rsidRPr="00DB63F0">
              <w:t xml:space="preserve"> vienādus nosacījumus informācijai, kas ir papīra formātā</w:t>
            </w:r>
            <w:r w:rsidR="00734377">
              <w:t>,</w:t>
            </w:r>
            <w:r w:rsidR="00C56DCC" w:rsidRPr="00DB63F0">
              <w:t xml:space="preserve"> un </w:t>
            </w:r>
            <w:r w:rsidR="000837D7" w:rsidRPr="00DB63F0">
              <w:t>MTL</w:t>
            </w:r>
            <w:r w:rsidR="004A398B" w:rsidRPr="00DB63F0">
              <w:t>, jo:</w:t>
            </w:r>
          </w:p>
          <w:p w:rsidR="004A398B" w:rsidRPr="00DB63F0" w:rsidRDefault="006A6573" w:rsidP="00165CCB">
            <w:pPr>
              <w:pStyle w:val="ListParagraph"/>
              <w:numPr>
                <w:ilvl w:val="0"/>
                <w:numId w:val="1"/>
              </w:numPr>
              <w:jc w:val="both"/>
            </w:pPr>
            <w:r>
              <w:t>p</w:t>
            </w:r>
            <w:r w:rsidR="00B74ED2" w:rsidRPr="00DB63F0">
              <w:t>apīra un elektroniska formāta informācijas reģistrāciju, uzglabāšanu un apriti nodrošina sevišķā lietvedība</w:t>
            </w:r>
            <w:r>
              <w:t>,</w:t>
            </w:r>
            <w:r w:rsidR="00B74ED2" w:rsidRPr="00DB63F0">
              <w:t xml:space="preserve"> </w:t>
            </w:r>
            <w:r>
              <w:t>t</w:t>
            </w:r>
            <w:r w:rsidR="00B74ED2" w:rsidRPr="00DB63F0">
              <w:t xml:space="preserve">urpretī MTL uzglabā noliktavās, kurās pastāv specifiska uzskaites un aprites kārtība. </w:t>
            </w:r>
            <w:r w:rsidR="003F38FA" w:rsidRPr="00DB63F0">
              <w:t>Tādējādi</w:t>
            </w:r>
            <w:r w:rsidR="00B74ED2" w:rsidRPr="00DB63F0">
              <w:t xml:space="preserve"> MTL nevar piemērot pras</w:t>
            </w:r>
            <w:r w:rsidR="003F38FA" w:rsidRPr="00DB63F0">
              <w:t>ības par seifiem, kuras note</w:t>
            </w:r>
            <w:r>
              <w:t>i</w:t>
            </w:r>
            <w:r w:rsidR="003F38FA" w:rsidRPr="00DB63F0">
              <w:t>k</w:t>
            </w:r>
            <w:r>
              <w:t>t</w:t>
            </w:r>
            <w:r w:rsidR="003F38FA" w:rsidRPr="00DB63F0">
              <w:t xml:space="preserve">as </w:t>
            </w:r>
            <w:r>
              <w:t>n</w:t>
            </w:r>
            <w:r w:rsidR="003F38FA" w:rsidRPr="00DB63F0">
              <w:t xml:space="preserve">oteikumus Nr.21 28.punktā; </w:t>
            </w:r>
          </w:p>
          <w:p w:rsidR="003F38FA" w:rsidRPr="00DB63F0" w:rsidRDefault="006A6573" w:rsidP="00165CCB">
            <w:pPr>
              <w:pStyle w:val="ListParagraph"/>
              <w:numPr>
                <w:ilvl w:val="0"/>
                <w:numId w:val="1"/>
              </w:numPr>
              <w:jc w:val="both"/>
            </w:pPr>
            <w:r>
              <w:t>p</w:t>
            </w:r>
            <w:r w:rsidR="00B74ED2" w:rsidRPr="00DB63F0">
              <w:t>rasības telpām, kurās uzglabā informāciju papīra formātā</w:t>
            </w:r>
            <w:r w:rsidR="003F38FA" w:rsidRPr="00DB63F0">
              <w:t xml:space="preserve"> (</w:t>
            </w:r>
            <w:r>
              <w:t>n</w:t>
            </w:r>
            <w:r w:rsidR="003F38FA" w:rsidRPr="00DB63F0">
              <w:t>oteikumu Nr.21 27.punkts)</w:t>
            </w:r>
            <w:r>
              <w:t>,</w:t>
            </w:r>
            <w:r w:rsidR="00B1681B" w:rsidRPr="00DB63F0">
              <w:t xml:space="preserve"> </w:t>
            </w:r>
            <w:r w:rsidR="00B74ED2" w:rsidRPr="00DB63F0">
              <w:t>un noliktavām, kurās uzglabā MTL</w:t>
            </w:r>
            <w:r>
              <w:t>,</w:t>
            </w:r>
            <w:r w:rsidR="00B74ED2" w:rsidRPr="00DB63F0">
              <w:t xml:space="preserve"> nevar b</w:t>
            </w:r>
            <w:r w:rsidR="003F38FA" w:rsidRPr="00DB63F0">
              <w:t>ūt identiskas</w:t>
            </w:r>
            <w:r w:rsidR="00634ECB" w:rsidRPr="00DB63F0">
              <w:t xml:space="preserve">, jo </w:t>
            </w:r>
            <w:r w:rsidR="003D3070" w:rsidRPr="00DB63F0">
              <w:t>MTL glabā</w:t>
            </w:r>
            <w:r>
              <w:t>,</w:t>
            </w:r>
            <w:r w:rsidR="003D3070" w:rsidRPr="00DB63F0">
              <w:t xml:space="preserve"> ievērojot ražotāja</w:t>
            </w:r>
            <w:r w:rsidR="00634ECB" w:rsidRPr="00DB63F0">
              <w:t xml:space="preserve"> tehnisk</w:t>
            </w:r>
            <w:r w:rsidR="003D3070" w:rsidRPr="00DB63F0">
              <w:t xml:space="preserve">ajā dokumentācijā noteiktās </w:t>
            </w:r>
            <w:r w:rsidR="00634ECB" w:rsidRPr="00DB63F0">
              <w:t xml:space="preserve">prasības </w:t>
            </w:r>
            <w:r w:rsidR="007D71EA" w:rsidRPr="00DB63F0">
              <w:t>un</w:t>
            </w:r>
            <w:r w:rsidR="00634ECB" w:rsidRPr="00DB63F0">
              <w:t xml:space="preserve"> arī drošības prasības, lai</w:t>
            </w:r>
            <w:r w:rsidR="003D3070" w:rsidRPr="00DB63F0">
              <w:t xml:space="preserve"> novērstu nesankcionētu piekļuvi MTL</w:t>
            </w:r>
            <w:r w:rsidR="003F38FA" w:rsidRPr="00DB63F0">
              <w:t>;</w:t>
            </w:r>
          </w:p>
          <w:p w:rsidR="003F38FA" w:rsidRPr="00DB63F0" w:rsidRDefault="00B74ED2" w:rsidP="00165CCB">
            <w:pPr>
              <w:pStyle w:val="ListParagraph"/>
              <w:numPr>
                <w:ilvl w:val="0"/>
                <w:numId w:val="1"/>
              </w:numPr>
              <w:jc w:val="both"/>
            </w:pPr>
            <w:r w:rsidRPr="00DB63F0">
              <w:t xml:space="preserve"> </w:t>
            </w:r>
            <w:r w:rsidR="003F38FA" w:rsidRPr="00DB63F0">
              <w:t xml:space="preserve">MTL nevar piemērot </w:t>
            </w:r>
            <w:r w:rsidR="006A6573">
              <w:t>n</w:t>
            </w:r>
            <w:r w:rsidR="003F38FA" w:rsidRPr="00DB63F0">
              <w:t xml:space="preserve">oteikumu Nr.21 </w:t>
            </w:r>
            <w:r w:rsidR="00B1681B" w:rsidRPr="00DB63F0">
              <w:t>V nodaļā</w:t>
            </w:r>
            <w:r w:rsidR="003F38FA" w:rsidRPr="00DB63F0">
              <w:t xml:space="preserve"> noteikto kārtību par speciālo apzīmējumu lietošanu;</w:t>
            </w:r>
          </w:p>
          <w:p w:rsidR="00916C89" w:rsidRPr="00DB63F0" w:rsidRDefault="00916C89" w:rsidP="006A6573">
            <w:pPr>
              <w:pStyle w:val="ListParagraph"/>
              <w:numPr>
                <w:ilvl w:val="0"/>
                <w:numId w:val="1"/>
              </w:numPr>
              <w:jc w:val="both"/>
            </w:pPr>
            <w:r w:rsidRPr="00DB63F0">
              <w:t xml:space="preserve">MTL nevar piemērot </w:t>
            </w:r>
            <w:r w:rsidR="006A6573">
              <w:t>n</w:t>
            </w:r>
            <w:r w:rsidRPr="00DB63F0">
              <w:t>oteikumu Nr.21 37. un 38.punkt</w:t>
            </w:r>
            <w:r w:rsidR="006A6573">
              <w:t>ā noteikto</w:t>
            </w:r>
            <w:r w:rsidRPr="00DB63F0">
              <w:t xml:space="preserve">, jo militāras kravas </w:t>
            </w:r>
            <w:r w:rsidR="00017977" w:rsidRPr="00DB63F0">
              <w:t>nogādā</w:t>
            </w:r>
            <w:r w:rsidR="006A6573">
              <w:t>,</w:t>
            </w:r>
            <w:r w:rsidR="006E4107" w:rsidRPr="00DB63F0">
              <w:t xml:space="preserve"> pamatojoties uz </w:t>
            </w:r>
            <w:r w:rsidR="0039173C" w:rsidRPr="00DB63F0">
              <w:t>Stratēģiskas nozīmes preču aprites likumā noteikto</w:t>
            </w:r>
            <w:r w:rsidR="00017977" w:rsidRPr="00DB63F0">
              <w:t xml:space="preserve"> kārtību, kā arī </w:t>
            </w:r>
            <w:r w:rsidR="00124F94" w:rsidRPr="00DB63F0">
              <w:t xml:space="preserve">Ministru kabineta </w:t>
            </w:r>
            <w:r w:rsidR="006A6573" w:rsidRPr="006A6573">
              <w:t>2010.gada 9.mart</w:t>
            </w:r>
            <w:r w:rsidR="006A6573">
              <w:t>a</w:t>
            </w:r>
            <w:r w:rsidR="006A6573" w:rsidRPr="006A6573">
              <w:t xml:space="preserve"> </w:t>
            </w:r>
            <w:r w:rsidR="00124F94" w:rsidRPr="00DB63F0">
              <w:t>noteikumiem Nr.225 „Militārpersonu un militāro kravu dzelzceļa pārvadājumu noteikumi”</w:t>
            </w:r>
            <w:r w:rsidR="00017977" w:rsidRPr="00DB63F0">
              <w:t>;</w:t>
            </w:r>
          </w:p>
          <w:p w:rsidR="00B74ED2" w:rsidRPr="00DB63F0" w:rsidRDefault="00C05DA5" w:rsidP="00165CCB">
            <w:pPr>
              <w:pStyle w:val="ListParagraph"/>
              <w:numPr>
                <w:ilvl w:val="0"/>
                <w:numId w:val="1"/>
              </w:numPr>
              <w:jc w:val="both"/>
            </w:pPr>
            <w:r w:rsidRPr="00DB63F0">
              <w:t xml:space="preserve">MTL nevar piemērot </w:t>
            </w:r>
            <w:r w:rsidR="0086378C">
              <w:t>n</w:t>
            </w:r>
            <w:r w:rsidRPr="00DB63F0">
              <w:t xml:space="preserve">oteikumu Nr.21 88.punktu, kas regulē valsts noslēpuma objektu, NATO </w:t>
            </w:r>
            <w:r w:rsidR="00036428">
              <w:t>un</w:t>
            </w:r>
            <w:r w:rsidR="00036428" w:rsidRPr="00DB63F0">
              <w:t xml:space="preserve"> </w:t>
            </w:r>
            <w:r w:rsidRPr="00DB63F0">
              <w:t>Eiropas Savienības klasificētās informācijas nosūtīšanu</w:t>
            </w:r>
            <w:r w:rsidR="00017977" w:rsidRPr="00DB63F0">
              <w:t xml:space="preserve"> </w:t>
            </w:r>
            <w:r w:rsidRPr="00DB63F0">
              <w:t xml:space="preserve">dubultiepakojumā. MTL transportē kā militāras kravas, kuras pavada </w:t>
            </w:r>
            <w:r w:rsidR="00017977" w:rsidRPr="00DB63F0">
              <w:t xml:space="preserve">atbilstoša </w:t>
            </w:r>
            <w:r w:rsidRPr="00DB63F0">
              <w:t>apsardze</w:t>
            </w:r>
            <w:r w:rsidR="00183BBB" w:rsidRPr="00DB63F0">
              <w:t xml:space="preserve"> (</w:t>
            </w:r>
            <w:r w:rsidR="00243DA1">
              <w:t>M</w:t>
            </w:r>
            <w:r w:rsidR="00183BBB" w:rsidRPr="00DB63F0">
              <w:t>ilitārā policija)</w:t>
            </w:r>
            <w:r w:rsidR="0086378C">
              <w:t>;</w:t>
            </w:r>
            <w:r w:rsidR="00B1681B" w:rsidRPr="00DB63F0">
              <w:t xml:space="preserve"> </w:t>
            </w:r>
          </w:p>
          <w:p w:rsidR="00C05DA5" w:rsidRPr="00DB63F0" w:rsidRDefault="00C05DA5" w:rsidP="00165CCB">
            <w:pPr>
              <w:pStyle w:val="ListParagraph"/>
              <w:numPr>
                <w:ilvl w:val="0"/>
                <w:numId w:val="1"/>
              </w:numPr>
              <w:jc w:val="both"/>
            </w:pPr>
            <w:r w:rsidRPr="00DB63F0">
              <w:t xml:space="preserve">MTL nevar piemērot </w:t>
            </w:r>
            <w:r w:rsidR="0086378C">
              <w:t>n</w:t>
            </w:r>
            <w:r w:rsidRPr="00DB63F0">
              <w:t>oteikumu Nr.21</w:t>
            </w:r>
            <w:r w:rsidR="0086378C">
              <w:t xml:space="preserve"> </w:t>
            </w:r>
            <w:r w:rsidR="003A06AE" w:rsidRPr="00DB63F0">
              <w:t>VII</w:t>
            </w:r>
            <w:r w:rsidR="0086378C">
              <w:t> </w:t>
            </w:r>
            <w:r w:rsidR="003A06AE" w:rsidRPr="00DB63F0">
              <w:t xml:space="preserve">nodaļā noteikto kārtību par valsts noslēpuma objektu, NATO un Eiropas Savienības klasificētās informācijas iznīcināšanu, jo, piemēram, munīcija ir priekšmeti, kas konstruktīvi izgatavoti šāviena izdarīšanai un paredzēti dzīvu vai nedzīvu mērķu iznīcināšanai vai bojāšanai. Tādējādi katram MTL ir </w:t>
            </w:r>
            <w:r w:rsidR="004D3DC0" w:rsidRPr="00DB63F0">
              <w:t>atšķirīgs</w:t>
            </w:r>
            <w:r w:rsidR="00017977" w:rsidRPr="00DB63F0">
              <w:t xml:space="preserve"> dzīves</w:t>
            </w:r>
            <w:r w:rsidR="003A06AE" w:rsidRPr="00DB63F0">
              <w:t xml:space="preserve"> cikls uzdevumu pildīšanas laikā.</w:t>
            </w:r>
          </w:p>
          <w:p w:rsidR="00082ACF" w:rsidRDefault="004A398B" w:rsidP="00076E81">
            <w:pPr>
              <w:jc w:val="both"/>
            </w:pPr>
            <w:r w:rsidRPr="00DB63F0">
              <w:t>Turklāt militārās vienības noteiktā administratīvā teritorij</w:t>
            </w:r>
            <w:r w:rsidR="0086378C">
              <w:t>ā</w:t>
            </w:r>
            <w:r w:rsidRPr="00DB63F0">
              <w:t xml:space="preserve"> var būt izvietotas gan pastāvīgi, gan arī uz laiku, piemēram, </w:t>
            </w:r>
            <w:r w:rsidR="00036428">
              <w:t xml:space="preserve">ja tās piedalās </w:t>
            </w:r>
            <w:r w:rsidRPr="00DB63F0">
              <w:t>militār</w:t>
            </w:r>
            <w:r w:rsidR="00036428">
              <w:t>ās</w:t>
            </w:r>
            <w:r w:rsidRPr="00DB63F0">
              <w:t xml:space="preserve"> mācīb</w:t>
            </w:r>
            <w:r w:rsidR="00036428">
              <w:t>ās</w:t>
            </w:r>
            <w:r w:rsidRPr="00DB63F0">
              <w:t xml:space="preserve"> vai starptautisk</w:t>
            </w:r>
            <w:r w:rsidR="00036428">
              <w:t>ās</w:t>
            </w:r>
            <w:r w:rsidRPr="00DB63F0">
              <w:t xml:space="preserve"> operācij</w:t>
            </w:r>
            <w:r w:rsidR="00036428">
              <w:t>ās</w:t>
            </w:r>
            <w:r w:rsidRPr="00DB63F0">
              <w:t>.</w:t>
            </w:r>
            <w:r w:rsidR="004D3DC0" w:rsidRPr="00DB63F0">
              <w:t xml:space="preserve"> Tādējādi MTL aizsardzības metodes katrā konkrētā </w:t>
            </w:r>
            <w:r w:rsidR="00131948" w:rsidRPr="00DB63F0">
              <w:t xml:space="preserve">iestādē un </w:t>
            </w:r>
            <w:r w:rsidR="002643DE" w:rsidRPr="00DB63F0">
              <w:t xml:space="preserve">katrā konkrētā </w:t>
            </w:r>
            <w:r w:rsidR="004D3DC0" w:rsidRPr="00DB63F0">
              <w:t xml:space="preserve">gadījumā būs atšķirīgas. </w:t>
            </w:r>
          </w:p>
          <w:p w:rsidR="001B7EFD" w:rsidRDefault="001B7EFD" w:rsidP="001B7EFD">
            <w:pPr>
              <w:pStyle w:val="NoSpacing"/>
              <w:jc w:val="both"/>
            </w:pPr>
            <w:r>
              <w:t xml:space="preserve">Likuma 9. panta otrās daļas 1. punktā noteiktais regulējums par personas rīcībspēju šobrīd neatbilst </w:t>
            </w:r>
            <w:r w:rsidRPr="001B7EFD">
              <w:t>Apvienoto Nāciju Organizācijas 2006.</w:t>
            </w:r>
            <w:r w:rsidR="00676484">
              <w:t> </w:t>
            </w:r>
            <w:r w:rsidRPr="001B7EFD">
              <w:t>gada 13.</w:t>
            </w:r>
            <w:r w:rsidR="00676484">
              <w:t> </w:t>
            </w:r>
            <w:r w:rsidRPr="001B7EFD">
              <w:t>decembra Konvencija</w:t>
            </w:r>
            <w:r w:rsidR="008F06E6">
              <w:t>i</w:t>
            </w:r>
            <w:r w:rsidRPr="001B7EFD">
              <w:t xml:space="preserve"> par personu ar invaliditāti tiesībām (turpmāk</w:t>
            </w:r>
            <w:r w:rsidR="00676484">
              <w:t xml:space="preserve"> –</w:t>
            </w:r>
            <w:r w:rsidRPr="001B7EFD">
              <w:t xml:space="preserve"> Konvencija), </w:t>
            </w:r>
            <w:r w:rsidR="008F06E6">
              <w:t xml:space="preserve">kas </w:t>
            </w:r>
            <w:r w:rsidRPr="001B7EFD">
              <w:t>apstiprināta ar likumu „Par Konvenciju par personu ar invaliditāti tiesībām”</w:t>
            </w:r>
            <w:r w:rsidR="0086378C">
              <w:t>,</w:t>
            </w:r>
            <w:r w:rsidRPr="001B7EFD">
              <w:t xml:space="preserve"> un 2010.</w:t>
            </w:r>
            <w:r w:rsidR="00676484">
              <w:t> </w:t>
            </w:r>
            <w:r w:rsidRPr="001B7EFD">
              <w:t>gada 27.</w:t>
            </w:r>
            <w:r w:rsidR="00676484">
              <w:t> </w:t>
            </w:r>
            <w:r w:rsidRPr="001B7EFD">
              <w:t>decembra Latvijas Republikas Satversmes tiesas spriedum</w:t>
            </w:r>
            <w:r w:rsidR="00676484">
              <w:t>am</w:t>
            </w:r>
            <w:r w:rsidRPr="001B7EFD">
              <w:t xml:space="preserve"> lietā Nr. 2010-38-01 „Par Civillikuma 358.</w:t>
            </w:r>
            <w:r w:rsidR="00676484">
              <w:t> </w:t>
            </w:r>
            <w:r w:rsidRPr="001B7EFD">
              <w:t>panta un 364.</w:t>
            </w:r>
            <w:r w:rsidR="00676484">
              <w:t> </w:t>
            </w:r>
            <w:r w:rsidRPr="001B7EFD">
              <w:t xml:space="preserve">panta atbilstību </w:t>
            </w:r>
            <w:r w:rsidRPr="001B7EFD">
              <w:lastRenderedPageBreak/>
              <w:t>Latvijas Republikas Satversmes 96.</w:t>
            </w:r>
            <w:r w:rsidR="00676484">
              <w:t> </w:t>
            </w:r>
            <w:r w:rsidRPr="001B7EFD">
              <w:t>pantam”.</w:t>
            </w:r>
            <w:r w:rsidR="008F06E6">
              <w:t xml:space="preserve"> Tād</w:t>
            </w:r>
            <w:r w:rsidR="0086378C">
              <w:t>ē</w:t>
            </w:r>
            <w:r w:rsidR="008F06E6">
              <w:t xml:space="preserve">jādi likumā ar personas rīcībspēju saistītais ierobežojums speciālās atļaujas saņemšanai darbam ar valsts noslēpumu ir jāizsaka precīzi atbilstoši Civillikuma </w:t>
            </w:r>
            <w:r w:rsidR="009258B7">
              <w:t>un Civilprocesa likuma regulējumam.</w:t>
            </w:r>
          </w:p>
          <w:p w:rsidR="00DB63F0" w:rsidRPr="00DB63F0" w:rsidRDefault="009258B7" w:rsidP="0086378C">
            <w:pPr>
              <w:pStyle w:val="NoSpacing"/>
              <w:jc w:val="both"/>
            </w:pPr>
            <w:r>
              <w:t xml:space="preserve">Kopš 2012.gada 1.jūlija </w:t>
            </w:r>
            <w:r w:rsidRPr="009258B7">
              <w:t xml:space="preserve">normatīvajos aktos </w:t>
            </w:r>
            <w:r>
              <w:t xml:space="preserve">ir </w:t>
            </w:r>
            <w:r w:rsidRPr="009258B7">
              <w:t>izdarīta</w:t>
            </w:r>
            <w:r>
              <w:t>s</w:t>
            </w:r>
            <w:r w:rsidRPr="009258B7">
              <w:t xml:space="preserve"> tiesiskā regulējuma izmaiņ</w:t>
            </w:r>
            <w:r>
              <w:t>as</w:t>
            </w:r>
            <w:r w:rsidRPr="009258B7">
              <w:t xml:space="preserve"> par administratīvo pārkāpumu lietu piekritību</w:t>
            </w:r>
            <w:r w:rsidR="0086378C">
              <w:t>,</w:t>
            </w:r>
            <w:r w:rsidRPr="009258B7">
              <w:t xml:space="preserve"> </w:t>
            </w:r>
            <w:r>
              <w:t xml:space="preserve">un šādas lietas vairs neskata administratīvās tiesas, bet gan </w:t>
            </w:r>
            <w:r w:rsidRPr="009258B7">
              <w:t>vispārējās jurisdikcijas ties</w:t>
            </w:r>
            <w:r>
              <w:t>as.</w:t>
            </w:r>
            <w:r w:rsidRPr="009258B7">
              <w:t xml:space="preserve"> </w:t>
            </w:r>
            <w:r>
              <w:t>V</w:t>
            </w:r>
            <w:r w:rsidRPr="009258B7">
              <w:t>ispārējās jurisdikcijas ties</w:t>
            </w:r>
            <w:r>
              <w:t>as</w:t>
            </w:r>
            <w:r w:rsidRPr="009258B7">
              <w:t xml:space="preserve"> administratīvo pārkāpumu liet</w:t>
            </w:r>
            <w:r>
              <w:t>as skata saskaņā ar</w:t>
            </w:r>
            <w:r w:rsidRPr="009258B7">
              <w:t xml:space="preserve"> Latvijas </w:t>
            </w:r>
            <w:r>
              <w:t>Administratīvo pārkāpumu kodeksā</w:t>
            </w:r>
            <w:r w:rsidRPr="009258B7">
              <w:t xml:space="preserve"> </w:t>
            </w:r>
            <w:r>
              <w:t>noteiktajām procesuālajām normām</w:t>
            </w:r>
            <w:r w:rsidR="0086378C">
              <w:t>,</w:t>
            </w:r>
            <w:r>
              <w:t xml:space="preserve"> un tās tiek uzskaitītas kā atsevišķu lietu kategorija. Tād</w:t>
            </w:r>
            <w:r w:rsidR="0086378C">
              <w:t>ē</w:t>
            </w:r>
            <w:r>
              <w:t xml:space="preserve">jādi </w:t>
            </w:r>
            <w:r w:rsidRPr="009258B7">
              <w:t xml:space="preserve">nepieciešams iekļaut grozījumu likuma 12. panta piektajā daļā, </w:t>
            </w:r>
            <w:r w:rsidR="0086378C">
              <w:t xml:space="preserve">kur </w:t>
            </w:r>
            <w:r w:rsidR="005958F9">
              <w:t xml:space="preserve">bez norādītajām lietu kategorijām atsevišķi jāparedz arī administratīvo pārkāpumu lietas. </w:t>
            </w:r>
            <w:r w:rsidR="008109C5">
              <w:t xml:space="preserve">Turklāt </w:t>
            </w:r>
            <w:r w:rsidR="0086378C" w:rsidRPr="009258B7">
              <w:t xml:space="preserve">Latvijas </w:t>
            </w:r>
            <w:r w:rsidR="0086378C">
              <w:t>Administratīvo pārkāpumu kodeksa</w:t>
            </w:r>
            <w:r w:rsidR="0086378C" w:rsidRPr="009258B7">
              <w:t xml:space="preserve"> </w:t>
            </w:r>
            <w:r w:rsidR="005958F9" w:rsidRPr="005958F9">
              <w:t>289.</w:t>
            </w:r>
            <w:r w:rsidR="005958F9" w:rsidRPr="005958F9">
              <w:rPr>
                <w:vertAlign w:val="superscript"/>
              </w:rPr>
              <w:t>6</w:t>
            </w:r>
            <w:r w:rsidR="005958F9" w:rsidRPr="005958F9">
              <w:t xml:space="preserve"> panta trešajā daļā </w:t>
            </w:r>
            <w:r w:rsidR="005958F9">
              <w:t>jau šobrīd ir paredzēts</w:t>
            </w:r>
            <w:r w:rsidR="005958F9" w:rsidRPr="005958F9">
              <w:t xml:space="preserve"> daļējs tiesiskais regulējums par valsts noslēpuma objektu iespējamo esamību tiesas procesā</w:t>
            </w:r>
            <w:r w:rsidR="005958F9">
              <w:t>, tādēļ atbilstoš</w:t>
            </w:r>
            <w:r w:rsidR="0086378C">
              <w:t>s</w:t>
            </w:r>
            <w:r w:rsidR="005958F9">
              <w:t xml:space="preserve"> regulējum</w:t>
            </w:r>
            <w:r w:rsidR="0086378C">
              <w:t>s</w:t>
            </w:r>
            <w:r w:rsidR="005958F9">
              <w:t xml:space="preserve"> valsts noslēpuma aizsardzībai jāiekļauj </w:t>
            </w:r>
            <w:r w:rsidR="00036428">
              <w:t xml:space="preserve">arī </w:t>
            </w:r>
            <w:r w:rsidR="005958F9">
              <w:t>likumā.</w:t>
            </w:r>
          </w:p>
        </w:tc>
      </w:tr>
      <w:tr w:rsidR="00533FC4" w:rsidRPr="00FD55C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lastRenderedPageBreak/>
              <w:t>3.</w:t>
            </w:r>
          </w:p>
        </w:tc>
        <w:tc>
          <w:tcPr>
            <w:tcW w:w="100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Saistītie politikas ietekmes novērtējumi un pētījumi</w:t>
            </w:r>
          </w:p>
        </w:tc>
        <w:tc>
          <w:tcPr>
            <w:tcW w:w="3750" w:type="pct"/>
            <w:tcBorders>
              <w:top w:val="outset" w:sz="6" w:space="0" w:color="auto"/>
              <w:left w:val="outset" w:sz="6" w:space="0" w:color="auto"/>
              <w:bottom w:val="outset" w:sz="6" w:space="0" w:color="auto"/>
              <w:right w:val="outset" w:sz="6" w:space="0" w:color="auto"/>
            </w:tcBorders>
          </w:tcPr>
          <w:p w:rsidR="00533FC4" w:rsidRPr="00DB63F0" w:rsidRDefault="00533FC4">
            <w:pPr>
              <w:pStyle w:val="tvhtmlmktable"/>
            </w:pPr>
            <w:r w:rsidRPr="00DB63F0">
              <w:t>Nav attiecināms</w:t>
            </w:r>
            <w:r w:rsidR="00744834" w:rsidRPr="00DB63F0">
              <w:t>.</w:t>
            </w:r>
          </w:p>
        </w:tc>
      </w:tr>
      <w:tr w:rsidR="00533FC4" w:rsidRPr="00FD55C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4.</w:t>
            </w:r>
          </w:p>
        </w:tc>
        <w:tc>
          <w:tcPr>
            <w:tcW w:w="1000" w:type="pct"/>
            <w:tcBorders>
              <w:top w:val="outset" w:sz="6" w:space="0" w:color="auto"/>
              <w:left w:val="outset" w:sz="6" w:space="0" w:color="auto"/>
              <w:bottom w:val="outset" w:sz="6" w:space="0" w:color="auto"/>
              <w:right w:val="outset" w:sz="6" w:space="0" w:color="auto"/>
            </w:tcBorders>
          </w:tcPr>
          <w:p w:rsidR="00533FC4" w:rsidRPr="00DB63F0" w:rsidRDefault="00533FC4" w:rsidP="005447DB">
            <w:pPr>
              <w:pStyle w:val="tvhtmlmktable"/>
              <w:spacing w:before="0" w:beforeAutospacing="0" w:after="0" w:afterAutospacing="0"/>
            </w:pPr>
            <w:r w:rsidRPr="00DB63F0">
              <w:t>Tiesiskā regulējuma mērķis un būtība</w:t>
            </w:r>
          </w:p>
        </w:tc>
        <w:tc>
          <w:tcPr>
            <w:tcW w:w="3750" w:type="pct"/>
            <w:tcBorders>
              <w:top w:val="outset" w:sz="6" w:space="0" w:color="auto"/>
              <w:left w:val="outset" w:sz="6" w:space="0" w:color="auto"/>
              <w:bottom w:val="outset" w:sz="6" w:space="0" w:color="auto"/>
              <w:right w:val="outset" w:sz="6" w:space="0" w:color="auto"/>
            </w:tcBorders>
          </w:tcPr>
          <w:p w:rsidR="00311A51" w:rsidRDefault="00DD5A10" w:rsidP="004954F7">
            <w:pPr>
              <w:jc w:val="both"/>
            </w:pPr>
            <w:r w:rsidRPr="00DB63F0">
              <w:t>Projekta</w:t>
            </w:r>
            <w:r w:rsidR="00D83153" w:rsidRPr="00DB63F0">
              <w:t xml:space="preserve"> mērķis ir</w:t>
            </w:r>
            <w:r w:rsidR="00311A51" w:rsidRPr="00DB63F0">
              <w:t xml:space="preserve"> nodrošināt </w:t>
            </w:r>
            <w:r w:rsidR="00D429F0" w:rsidRPr="00DB63F0">
              <w:t>pilnīgu</w:t>
            </w:r>
            <w:r w:rsidR="00311A51" w:rsidRPr="00DB63F0">
              <w:t xml:space="preserve"> valsts noslēpuma objektu </w:t>
            </w:r>
            <w:r w:rsidR="002453D3" w:rsidRPr="00DB63F0">
              <w:t>saglabāšanu</w:t>
            </w:r>
            <w:r w:rsidR="00655213" w:rsidRPr="00DB63F0">
              <w:t xml:space="preserve"> un aizsardzību </w:t>
            </w:r>
            <w:r w:rsidR="002F0947">
              <w:t>un</w:t>
            </w:r>
            <w:r w:rsidR="002453D3" w:rsidRPr="00DB63F0">
              <w:t xml:space="preserve"> nepieļaut to </w:t>
            </w:r>
            <w:r w:rsidR="004759B7" w:rsidRPr="00DB63F0">
              <w:t>nokļūšanu nepiederošu personu rokās.</w:t>
            </w:r>
            <w:r w:rsidR="004954F7">
              <w:t xml:space="preserve"> </w:t>
            </w:r>
            <w:r w:rsidR="002F0947">
              <w:t>Ja</w:t>
            </w:r>
            <w:r w:rsidR="009432BA" w:rsidRPr="00DB63F0">
              <w:t xml:space="preserve"> rodas šaubas par to, vai spēkā esošais tiesiskais regulējums</w:t>
            </w:r>
            <w:r w:rsidR="00A426C1" w:rsidRPr="00DB63F0">
              <w:t xml:space="preserve"> attiecībā uz </w:t>
            </w:r>
            <w:r w:rsidR="00A81C2B" w:rsidRPr="00DB63F0">
              <w:t>MTL</w:t>
            </w:r>
            <w:r w:rsidR="004759B7" w:rsidRPr="00DB63F0">
              <w:t xml:space="preserve"> apriti</w:t>
            </w:r>
            <w:r w:rsidR="00A426C1" w:rsidRPr="00DB63F0">
              <w:t xml:space="preserve"> ir pietiekams </w:t>
            </w:r>
            <w:r w:rsidR="00044A07" w:rsidRPr="00DB63F0">
              <w:t>un</w:t>
            </w:r>
            <w:r w:rsidR="00A426C1" w:rsidRPr="00DB63F0">
              <w:t xml:space="preserve"> </w:t>
            </w:r>
            <w:r w:rsidR="002F0947">
              <w:t>vai MTL</w:t>
            </w:r>
            <w:r w:rsidR="002F0947" w:rsidRPr="00DB63F0">
              <w:t xml:space="preserve"> </w:t>
            </w:r>
            <w:r w:rsidR="00044A07" w:rsidRPr="00DB63F0">
              <w:t>var no</w:t>
            </w:r>
            <w:r w:rsidR="00A426C1" w:rsidRPr="00DB63F0">
              <w:t>kļūt nepiederošu personu rokās, i</w:t>
            </w:r>
            <w:r w:rsidR="009432BA" w:rsidRPr="00DB63F0">
              <w:t>evērojot</w:t>
            </w:r>
            <w:r w:rsidR="00655213" w:rsidRPr="00DB63F0">
              <w:t xml:space="preserve"> likuma „Par valsts noslēpumu” 7.panta</w:t>
            </w:r>
            <w:r w:rsidR="00034011" w:rsidRPr="00DB63F0">
              <w:t xml:space="preserve"> </w:t>
            </w:r>
            <w:r w:rsidR="004B28E2" w:rsidRPr="00DB63F0">
              <w:t>trešajā daļā noteikto, ka Satversmes aizsardzības birojs, Militārās izlūkošanas un drošības dienests un Drošības policija atbilstoši likumā noteiktajai šo iestāžu kompetencei vada, koordinē, kontrolē un veic valsts noslēpuma aizsardzības pasākumus</w:t>
            </w:r>
            <w:r w:rsidR="00B44B06">
              <w:t>,</w:t>
            </w:r>
            <w:r w:rsidR="004B28E2" w:rsidRPr="00DB63F0">
              <w:t xml:space="preserve"> un</w:t>
            </w:r>
            <w:r w:rsidR="00655213" w:rsidRPr="00DB63F0">
              <w:t xml:space="preserve"> ceturtajā daļā noteikto, ka par slepenības režīma ievērošanas un valsts noslēpuma aizsardzības nodrošināšanu valsts institūcijā ir atbildīgs šīs institūcijas vadītājs (savas kompetences ietvaros),</w:t>
            </w:r>
            <w:r w:rsidR="00034011" w:rsidRPr="00DB63F0">
              <w:t xml:space="preserve"> </w:t>
            </w:r>
            <w:r w:rsidR="00183BBB" w:rsidRPr="00DB63F0">
              <w:t>institūcijas vadītājs</w:t>
            </w:r>
            <w:r w:rsidR="00B44B06">
              <w:t>,</w:t>
            </w:r>
            <w:r w:rsidR="00104C65" w:rsidRPr="00DB63F0">
              <w:t xml:space="preserve"> izvērtējot riskus </w:t>
            </w:r>
            <w:r w:rsidR="00353AD9" w:rsidRPr="00DB63F0">
              <w:t xml:space="preserve">un </w:t>
            </w:r>
            <w:r w:rsidR="00104C65" w:rsidRPr="00DB63F0">
              <w:t>sadarb</w:t>
            </w:r>
            <w:r w:rsidR="00353AD9" w:rsidRPr="00DB63F0">
              <w:t>ojoties</w:t>
            </w:r>
            <w:r w:rsidR="00104C65" w:rsidRPr="00DB63F0">
              <w:t xml:space="preserve"> ar attiecīgo drošības iestādi</w:t>
            </w:r>
            <w:r w:rsidR="00B44B06">
              <w:t>,</w:t>
            </w:r>
            <w:r w:rsidR="00104C65" w:rsidRPr="00DB63F0">
              <w:t xml:space="preserve"> var noteikt </w:t>
            </w:r>
            <w:r w:rsidR="00353AD9" w:rsidRPr="00DB63F0">
              <w:t>papildu prasības, lai nepieļautu valsts noslēpuma objekt</w:t>
            </w:r>
            <w:r w:rsidR="00034011" w:rsidRPr="00DB63F0">
              <w:t>u</w:t>
            </w:r>
            <w:r w:rsidR="00353AD9" w:rsidRPr="00DB63F0">
              <w:t>, NATO un Eiropas Savienības</w:t>
            </w:r>
            <w:r w:rsidR="00131948" w:rsidRPr="00DB63F0">
              <w:t>, kā arī ārvalstu klasificētās informācijas</w:t>
            </w:r>
            <w:r w:rsidR="00353AD9" w:rsidRPr="00DB63F0">
              <w:t>, kas ir MTL, nelikumīgu izplatīšanu.</w:t>
            </w:r>
          </w:p>
          <w:p w:rsidR="004954F7" w:rsidRPr="004954F7" w:rsidRDefault="004954F7" w:rsidP="004954F7">
            <w:pPr>
              <w:jc w:val="both"/>
              <w:rPr>
                <w:iCs/>
              </w:rPr>
            </w:pPr>
            <w:r w:rsidRPr="004954F7">
              <w:rPr>
                <w:iCs/>
              </w:rPr>
              <w:t>Likumprojekta mērķis ir izstrādāt jaunu rīcībspējas tiesisko regulējumu likumā</w:t>
            </w:r>
            <w:r w:rsidR="00B44B06">
              <w:rPr>
                <w:iCs/>
              </w:rPr>
              <w:t>,</w:t>
            </w:r>
            <w:r w:rsidR="005958F9">
              <w:rPr>
                <w:iCs/>
              </w:rPr>
              <w:t xml:space="preserve"> </w:t>
            </w:r>
            <w:r w:rsidRPr="004954F7">
              <w:rPr>
                <w:iCs/>
              </w:rPr>
              <w:t xml:space="preserve">pamatojoties uz grozījumiem Civillikumā un Civilprocesa likumā, </w:t>
            </w:r>
            <w:r w:rsidR="00B44B06">
              <w:rPr>
                <w:iCs/>
              </w:rPr>
              <w:t xml:space="preserve">un </w:t>
            </w:r>
            <w:r w:rsidR="005958F9">
              <w:rPr>
                <w:iCs/>
              </w:rPr>
              <w:t xml:space="preserve">tā </w:t>
            </w:r>
            <w:r w:rsidRPr="004954F7">
              <w:rPr>
                <w:iCs/>
              </w:rPr>
              <w:t>izpildīt Konvencijas prasības attiecībā uz personu rīcības spēju</w:t>
            </w:r>
            <w:r w:rsidR="0023293B">
              <w:rPr>
                <w:iCs/>
              </w:rPr>
              <w:t>,</w:t>
            </w:r>
            <w:r w:rsidR="005958F9">
              <w:rPr>
                <w:iCs/>
              </w:rPr>
              <w:t xml:space="preserve"> un </w:t>
            </w:r>
            <w:r w:rsidR="005958F9" w:rsidRPr="005958F9">
              <w:rPr>
                <w:iCs/>
              </w:rPr>
              <w:t>iz</w:t>
            </w:r>
            <w:r w:rsidR="005958F9">
              <w:rPr>
                <w:iCs/>
              </w:rPr>
              <w:t>teikt</w:t>
            </w:r>
            <w:r w:rsidR="005958F9" w:rsidRPr="005958F9">
              <w:rPr>
                <w:iCs/>
              </w:rPr>
              <w:t xml:space="preserve"> jaunā redakcijā likuma 9.</w:t>
            </w:r>
            <w:r w:rsidR="005958F9">
              <w:rPr>
                <w:iCs/>
              </w:rPr>
              <w:t> </w:t>
            </w:r>
            <w:r w:rsidR="005958F9" w:rsidRPr="005958F9">
              <w:rPr>
                <w:iCs/>
              </w:rPr>
              <w:t>panta otro da</w:t>
            </w:r>
            <w:r w:rsidR="005958F9">
              <w:rPr>
                <w:iCs/>
              </w:rPr>
              <w:t>ļu</w:t>
            </w:r>
            <w:r w:rsidRPr="004954F7">
              <w:rPr>
                <w:iCs/>
              </w:rPr>
              <w:t xml:space="preserve">. </w:t>
            </w:r>
            <w:r>
              <w:rPr>
                <w:iCs/>
              </w:rPr>
              <w:t>Tād</w:t>
            </w:r>
            <w:r w:rsidR="00B44B06">
              <w:rPr>
                <w:iCs/>
              </w:rPr>
              <w:t>ē</w:t>
            </w:r>
            <w:r>
              <w:rPr>
                <w:iCs/>
              </w:rPr>
              <w:t>jādi s</w:t>
            </w:r>
            <w:r w:rsidRPr="004954F7">
              <w:rPr>
                <w:iCs/>
              </w:rPr>
              <w:t>peciālo atļauju pieejai valsts noslēpumam var</w:t>
            </w:r>
            <w:r>
              <w:rPr>
                <w:iCs/>
              </w:rPr>
              <w:t>ēs</w:t>
            </w:r>
            <w:r w:rsidRPr="004954F7">
              <w:rPr>
                <w:iCs/>
              </w:rPr>
              <w:t xml:space="preserve"> izsniegt </w:t>
            </w:r>
            <w:r w:rsidR="009258B7">
              <w:rPr>
                <w:iCs/>
              </w:rPr>
              <w:t xml:space="preserve">tikai </w:t>
            </w:r>
            <w:r w:rsidRPr="004954F7">
              <w:rPr>
                <w:iCs/>
              </w:rPr>
              <w:t xml:space="preserve">personai, </w:t>
            </w:r>
            <w:r>
              <w:rPr>
                <w:iCs/>
              </w:rPr>
              <w:t xml:space="preserve">par </w:t>
            </w:r>
            <w:r w:rsidRPr="004954F7">
              <w:rPr>
                <w:iCs/>
              </w:rPr>
              <w:t>kur</w:t>
            </w:r>
            <w:r>
              <w:rPr>
                <w:iCs/>
              </w:rPr>
              <w:t>as rīcībspēju nav šaub</w:t>
            </w:r>
            <w:r w:rsidR="00243DA1">
              <w:rPr>
                <w:iCs/>
              </w:rPr>
              <w:t>u</w:t>
            </w:r>
            <w:r>
              <w:rPr>
                <w:iCs/>
              </w:rPr>
              <w:t xml:space="preserve">, proti, tiesa rīcībspēju nav ierobežojusi un </w:t>
            </w:r>
            <w:r w:rsidR="009258B7">
              <w:rPr>
                <w:iCs/>
              </w:rPr>
              <w:t xml:space="preserve">šaubu gadījumā </w:t>
            </w:r>
            <w:r>
              <w:rPr>
                <w:iCs/>
              </w:rPr>
              <w:t xml:space="preserve">nav arī lēmusi par pagaidu noregulējumu – pagaidu aizgādnību. </w:t>
            </w:r>
          </w:p>
          <w:p w:rsidR="005958F9" w:rsidRPr="005958F9" w:rsidRDefault="004954F7" w:rsidP="005958F9">
            <w:pPr>
              <w:jc w:val="both"/>
            </w:pPr>
            <w:r w:rsidRPr="005958F9">
              <w:rPr>
                <w:iCs/>
              </w:rPr>
              <w:t xml:space="preserve">Likumprojekta mērķis ir </w:t>
            </w:r>
            <w:r w:rsidR="005958F9" w:rsidRPr="005958F9">
              <w:t>pa</w:t>
            </w:r>
            <w:r w:rsidR="005958F9">
              <w:t xml:space="preserve">pildināt </w:t>
            </w:r>
            <w:r w:rsidR="005958F9" w:rsidRPr="005958F9">
              <w:rPr>
                <w:iCs/>
              </w:rPr>
              <w:t xml:space="preserve">likuma </w:t>
            </w:r>
            <w:r w:rsidR="005958F9">
              <w:rPr>
                <w:iCs/>
              </w:rPr>
              <w:t>12</w:t>
            </w:r>
            <w:r w:rsidR="005958F9" w:rsidRPr="005958F9">
              <w:rPr>
                <w:iCs/>
              </w:rPr>
              <w:t xml:space="preserve">. panta </w:t>
            </w:r>
            <w:r w:rsidR="005958F9">
              <w:rPr>
                <w:iCs/>
              </w:rPr>
              <w:t xml:space="preserve">piekto </w:t>
            </w:r>
            <w:r w:rsidR="005958F9" w:rsidRPr="005958F9">
              <w:rPr>
                <w:iCs/>
              </w:rPr>
              <w:t>daļu</w:t>
            </w:r>
            <w:r w:rsidR="005958F9" w:rsidRPr="005958F9">
              <w:t xml:space="preserve"> </w:t>
            </w:r>
            <w:r w:rsidR="005958F9">
              <w:t xml:space="preserve">ar </w:t>
            </w:r>
            <w:r w:rsidR="005958F9" w:rsidRPr="005958F9">
              <w:t>administratīvā pārkāpuma liet</w:t>
            </w:r>
            <w:r w:rsidR="005958F9">
              <w:t>u norādi, lai piemērotājiem nerastos šaubas par valsts noslēpuma izmantošanas iespējām administratīvā pārkāpum</w:t>
            </w:r>
            <w:r w:rsidR="00B44B06">
              <w:t>a</w:t>
            </w:r>
            <w:r w:rsidR="005958F9">
              <w:t xml:space="preserve"> lietu izskatīšanā</w:t>
            </w:r>
            <w:r w:rsidR="005958F9" w:rsidRPr="005958F9">
              <w:t xml:space="preserve">. </w:t>
            </w:r>
          </w:p>
          <w:p w:rsidR="004954F7" w:rsidRDefault="004954F7" w:rsidP="004954F7">
            <w:pPr>
              <w:jc w:val="both"/>
            </w:pPr>
          </w:p>
          <w:p w:rsidR="004954F7" w:rsidRPr="00DB63F0" w:rsidRDefault="004954F7">
            <w:pPr>
              <w:jc w:val="both"/>
            </w:pPr>
          </w:p>
        </w:tc>
      </w:tr>
      <w:tr w:rsidR="00533FC4" w:rsidRPr="00FD55C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lastRenderedPageBreak/>
              <w:t>5.</w:t>
            </w:r>
          </w:p>
        </w:tc>
        <w:tc>
          <w:tcPr>
            <w:tcW w:w="100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Projekta izstrādē iesaistītās institūcijas</w:t>
            </w:r>
          </w:p>
        </w:tc>
        <w:tc>
          <w:tcPr>
            <w:tcW w:w="3750" w:type="pct"/>
            <w:tcBorders>
              <w:top w:val="outset" w:sz="6" w:space="0" w:color="auto"/>
              <w:left w:val="outset" w:sz="6" w:space="0" w:color="auto"/>
              <w:bottom w:val="outset" w:sz="6" w:space="0" w:color="auto"/>
              <w:right w:val="outset" w:sz="6" w:space="0" w:color="auto"/>
            </w:tcBorders>
          </w:tcPr>
          <w:p w:rsidR="00533FC4" w:rsidRPr="00DB63F0" w:rsidRDefault="00EF088C" w:rsidP="00EF088C">
            <w:pPr>
              <w:pStyle w:val="tvhtmlmktable"/>
            </w:pPr>
            <w:r>
              <w:t>L</w:t>
            </w:r>
            <w:r w:rsidR="00533FC4" w:rsidRPr="00DB63F0">
              <w:t>ikumprojekts izstrādāts Aizsardzības ministrijā</w:t>
            </w:r>
            <w:r w:rsidR="00183BBB" w:rsidRPr="00DB63F0">
              <w:t>.</w:t>
            </w:r>
            <w:r w:rsidR="00D11D49" w:rsidRPr="00DB63F0">
              <w:t xml:space="preserve"> </w:t>
            </w:r>
          </w:p>
        </w:tc>
      </w:tr>
      <w:tr w:rsidR="00533FC4" w:rsidRPr="00FD55C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6.</w:t>
            </w:r>
          </w:p>
        </w:tc>
        <w:tc>
          <w:tcPr>
            <w:tcW w:w="100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Iemesli, kādēļ netika nodrošināta sabiedrības līdzdalība</w:t>
            </w:r>
          </w:p>
        </w:tc>
        <w:tc>
          <w:tcPr>
            <w:tcW w:w="3750" w:type="pct"/>
            <w:tcBorders>
              <w:top w:val="outset" w:sz="6" w:space="0" w:color="auto"/>
              <w:left w:val="outset" w:sz="6" w:space="0" w:color="auto"/>
              <w:bottom w:val="outset" w:sz="6" w:space="0" w:color="auto"/>
              <w:right w:val="outset" w:sz="6" w:space="0" w:color="auto"/>
            </w:tcBorders>
          </w:tcPr>
          <w:p w:rsidR="00533FC4" w:rsidRPr="00DB63F0" w:rsidRDefault="005D31A4">
            <w:pPr>
              <w:pStyle w:val="tvhtmlmktable"/>
              <w:jc w:val="both"/>
            </w:pPr>
            <w:r w:rsidRPr="00DB63F0">
              <w:t>Projekts skar valsts institūcij</w:t>
            </w:r>
            <w:r w:rsidR="00B44B06">
              <w:t>as</w:t>
            </w:r>
            <w:r w:rsidRPr="00DB63F0">
              <w:t>, kas rada, iegūst, uzglabā un izmanto valsts noslēpuma objektus. Projekta izstrādei nepieciešamas specifiskas zināšanas. Citas sabiedrības grupas projekts neietekmē.</w:t>
            </w:r>
          </w:p>
        </w:tc>
      </w:tr>
      <w:tr w:rsidR="00533FC4" w:rsidRPr="00FD55CA">
        <w:trPr>
          <w:tblCellSpacing w:w="15" w:type="dxa"/>
        </w:trPr>
        <w:tc>
          <w:tcPr>
            <w:tcW w:w="15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7.</w:t>
            </w:r>
          </w:p>
        </w:tc>
        <w:tc>
          <w:tcPr>
            <w:tcW w:w="1000" w:type="pct"/>
            <w:tcBorders>
              <w:top w:val="outset" w:sz="6" w:space="0" w:color="auto"/>
              <w:left w:val="outset" w:sz="6" w:space="0" w:color="auto"/>
              <w:bottom w:val="outset" w:sz="6" w:space="0" w:color="auto"/>
              <w:right w:val="outset" w:sz="6" w:space="0" w:color="auto"/>
            </w:tcBorders>
          </w:tcPr>
          <w:p w:rsidR="00533FC4" w:rsidRPr="00DB63F0" w:rsidRDefault="00533FC4" w:rsidP="00B35009">
            <w:pPr>
              <w:pStyle w:val="tvhtmlmktable"/>
            </w:pPr>
            <w:r w:rsidRPr="00DB63F0">
              <w:t>Cita informācija</w:t>
            </w:r>
          </w:p>
        </w:tc>
        <w:tc>
          <w:tcPr>
            <w:tcW w:w="3750" w:type="pct"/>
            <w:tcBorders>
              <w:top w:val="outset" w:sz="6" w:space="0" w:color="auto"/>
              <w:left w:val="outset" w:sz="6" w:space="0" w:color="auto"/>
              <w:bottom w:val="outset" w:sz="6" w:space="0" w:color="auto"/>
              <w:right w:val="outset" w:sz="6" w:space="0" w:color="auto"/>
            </w:tcBorders>
          </w:tcPr>
          <w:p w:rsidR="00533FC4" w:rsidRPr="00DB63F0" w:rsidRDefault="00D83153" w:rsidP="00B35009">
            <w:pPr>
              <w:pStyle w:val="tvhtmlmktable"/>
            </w:pPr>
            <w:r w:rsidRPr="00DB63F0">
              <w:t>Nav</w:t>
            </w:r>
            <w:r w:rsidR="006C635B" w:rsidRPr="00DB63F0">
              <w:t>.</w:t>
            </w:r>
          </w:p>
        </w:tc>
      </w:tr>
    </w:tbl>
    <w:p w:rsidR="00D83153" w:rsidRDefault="00D83153"/>
    <w:tbl>
      <w:tblPr>
        <w:tblW w:w="9329"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91"/>
        <w:gridCol w:w="5842"/>
      </w:tblGrid>
      <w:tr w:rsidR="00C265F3" w:rsidRPr="00C265F3" w:rsidTr="0099794B">
        <w:trPr>
          <w:jc w:val="center"/>
        </w:trPr>
        <w:tc>
          <w:tcPr>
            <w:tcW w:w="9329" w:type="dxa"/>
            <w:gridSpan w:val="3"/>
          </w:tcPr>
          <w:p w:rsidR="00C265F3" w:rsidRPr="00C265F3" w:rsidRDefault="00C265F3" w:rsidP="00C265F3">
            <w:pPr>
              <w:rPr>
                <w:b/>
                <w:bCs/>
              </w:rPr>
            </w:pPr>
            <w:r w:rsidRPr="00C265F3">
              <w:rPr>
                <w:b/>
                <w:bCs/>
              </w:rPr>
              <w:t>IV. Tiesību akta projekta ietekme uz spēkā esošo tiesību normu sistēmu</w:t>
            </w:r>
          </w:p>
        </w:tc>
      </w:tr>
      <w:tr w:rsidR="00C265F3" w:rsidRPr="00C265F3" w:rsidTr="0099794B">
        <w:trPr>
          <w:jc w:val="center"/>
        </w:trPr>
        <w:tc>
          <w:tcPr>
            <w:tcW w:w="396" w:type="dxa"/>
          </w:tcPr>
          <w:p w:rsidR="00C265F3" w:rsidRPr="00C265F3" w:rsidRDefault="00C265F3" w:rsidP="00C265F3">
            <w:pPr>
              <w:rPr>
                <w:iCs/>
              </w:rPr>
            </w:pPr>
            <w:r w:rsidRPr="00C265F3">
              <w:rPr>
                <w:iCs/>
              </w:rPr>
              <w:t>1.</w:t>
            </w:r>
          </w:p>
        </w:tc>
        <w:tc>
          <w:tcPr>
            <w:tcW w:w="3091" w:type="dxa"/>
          </w:tcPr>
          <w:p w:rsidR="00C265F3" w:rsidRPr="00C265F3" w:rsidRDefault="00C265F3" w:rsidP="00C265F3">
            <w:pPr>
              <w:rPr>
                <w:iCs/>
              </w:rPr>
            </w:pPr>
            <w:r w:rsidRPr="00C265F3">
              <w:t>Nepieciešamie saistītie tiesību aktu projekti</w:t>
            </w:r>
          </w:p>
        </w:tc>
        <w:tc>
          <w:tcPr>
            <w:tcW w:w="5842" w:type="dxa"/>
          </w:tcPr>
          <w:p w:rsidR="00D119D8" w:rsidRDefault="00CB29F0" w:rsidP="0099794B">
            <w:pPr>
              <w:jc w:val="both"/>
            </w:pPr>
            <w:r>
              <w:t xml:space="preserve">Grozījumi jāizdara Ministru kabineta </w:t>
            </w:r>
            <w:r w:rsidR="00243DA1">
              <w:t xml:space="preserve">2004.gada 26.oktobra </w:t>
            </w:r>
            <w:r>
              <w:t>noteikumos Nr. 887 „Valsts noslēpuma objektu saraksts”</w:t>
            </w:r>
            <w:r w:rsidR="001635EE">
              <w:t xml:space="preserve">, jo objektu sarakstā nav iekļauti </w:t>
            </w:r>
            <w:r w:rsidR="004D300F">
              <w:t>MTL</w:t>
            </w:r>
            <w:r w:rsidR="001635EE">
              <w:t xml:space="preserve">. </w:t>
            </w:r>
          </w:p>
          <w:p w:rsidR="00D119D8" w:rsidRPr="00C265F3" w:rsidRDefault="00D119D8" w:rsidP="009E2850">
            <w:pPr>
              <w:jc w:val="both"/>
              <w:rPr>
                <w:iCs/>
              </w:rPr>
            </w:pPr>
            <w:r w:rsidRPr="00D119D8">
              <w:t>Atbildīgā institūcija par attiecīgo</w:t>
            </w:r>
            <w:r w:rsidR="00CB29F0">
              <w:t xml:space="preserve"> grozījumu </w:t>
            </w:r>
            <w:r w:rsidRPr="00D119D8">
              <w:t>izstrādi būs Aizsardzības ministrija, kas</w:t>
            </w:r>
            <w:r w:rsidR="001635EE" w:rsidRPr="00D119D8">
              <w:t xml:space="preserve"> </w:t>
            </w:r>
            <w:r w:rsidR="009E2850">
              <w:t>divu mēnešu laikā pēc likuma spēkā stāšanās</w:t>
            </w:r>
            <w:r w:rsidR="009E2850" w:rsidRPr="00D119D8">
              <w:t xml:space="preserve"> </w:t>
            </w:r>
            <w:r w:rsidRPr="00D119D8">
              <w:t>tiesību aktu</w:t>
            </w:r>
            <w:r w:rsidR="00CB29F0">
              <w:t xml:space="preserve"> projektu</w:t>
            </w:r>
            <w:r w:rsidRPr="00D119D8">
              <w:t xml:space="preserve"> izstrādās un virzīs apstiprināšanai</w:t>
            </w:r>
            <w:r w:rsidR="009E2850">
              <w:t>.</w:t>
            </w:r>
            <w:r w:rsidR="001635EE">
              <w:t xml:space="preserve"> </w:t>
            </w:r>
          </w:p>
        </w:tc>
      </w:tr>
      <w:tr w:rsidR="00C265F3" w:rsidRPr="00C265F3" w:rsidTr="0099794B">
        <w:trPr>
          <w:jc w:val="center"/>
        </w:trPr>
        <w:tc>
          <w:tcPr>
            <w:tcW w:w="396" w:type="dxa"/>
          </w:tcPr>
          <w:p w:rsidR="00C265F3" w:rsidRPr="00C265F3" w:rsidRDefault="00C265F3" w:rsidP="00C265F3">
            <w:pPr>
              <w:rPr>
                <w:iCs/>
              </w:rPr>
            </w:pPr>
            <w:r w:rsidRPr="00C265F3">
              <w:rPr>
                <w:iCs/>
              </w:rPr>
              <w:t>2.</w:t>
            </w:r>
          </w:p>
        </w:tc>
        <w:tc>
          <w:tcPr>
            <w:tcW w:w="3091" w:type="dxa"/>
          </w:tcPr>
          <w:p w:rsidR="00C265F3" w:rsidRPr="00C265F3" w:rsidRDefault="00C265F3" w:rsidP="00C265F3">
            <w:pPr>
              <w:rPr>
                <w:iCs/>
              </w:rPr>
            </w:pPr>
            <w:r w:rsidRPr="00C265F3">
              <w:t>Cita informācija</w:t>
            </w:r>
          </w:p>
        </w:tc>
        <w:tc>
          <w:tcPr>
            <w:tcW w:w="5842" w:type="dxa"/>
          </w:tcPr>
          <w:p w:rsidR="00C265F3" w:rsidRPr="00C265F3" w:rsidRDefault="00C265F3" w:rsidP="00C265F3">
            <w:pPr>
              <w:rPr>
                <w:iCs/>
              </w:rPr>
            </w:pPr>
            <w:r w:rsidRPr="00C265F3">
              <w:t>Nav</w:t>
            </w:r>
            <w:r w:rsidR="001635EE">
              <w:t>.</w:t>
            </w:r>
          </w:p>
        </w:tc>
      </w:tr>
    </w:tbl>
    <w:p w:rsidR="00C265F3" w:rsidRPr="00DB63F0" w:rsidRDefault="00C265F3"/>
    <w:p w:rsidR="00D83153" w:rsidRPr="00DB63F0" w:rsidRDefault="00215F89">
      <w:r w:rsidRPr="00DB63F0">
        <w:t>Anotācijas II, III, V un VI sadaļa – nav attiecināms</w:t>
      </w:r>
      <w:r w:rsidR="00034E67" w:rsidRPr="00DB63F0">
        <w:t>.</w:t>
      </w:r>
    </w:p>
    <w:p w:rsidR="00215F89" w:rsidRPr="00DB63F0" w:rsidRDefault="00215F89"/>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15"/>
        <w:gridCol w:w="3996"/>
        <w:gridCol w:w="4910"/>
      </w:tblGrid>
      <w:tr w:rsidR="00215F89" w:rsidRPr="00FD55CA">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jc w:val="center"/>
            </w:pPr>
            <w:r w:rsidRPr="00DB63F0">
              <w:rPr>
                <w:b/>
                <w:bCs/>
              </w:rPr>
              <w:t>VII. Tiesību akta projekta izpildes nodrošināšana un tās ietekme uz institūcijām</w:t>
            </w:r>
          </w:p>
        </w:tc>
      </w:tr>
      <w:tr w:rsidR="00215F89" w:rsidRPr="00FD55C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pPr>
            <w:r w:rsidRPr="00DB63F0">
              <w:t>1.</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pPr>
            <w:r w:rsidRPr="00DB63F0">
              <w:t>Projekta izpildē iesaistītās institūcijas</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0818BF" w:rsidP="002643DE">
            <w:pPr>
              <w:pStyle w:val="tvhtmlmktable"/>
              <w:jc w:val="both"/>
            </w:pPr>
            <w:r w:rsidRPr="00DB63F0">
              <w:t>Valsts institūcija</w:t>
            </w:r>
            <w:r w:rsidR="00B44B06">
              <w:t>s</w:t>
            </w:r>
            <w:r w:rsidRPr="00DB63F0">
              <w:t xml:space="preserve">, kas rada, iegūst, uzglabā un izmanto valsts noslēpuma objektus. </w:t>
            </w:r>
          </w:p>
        </w:tc>
      </w:tr>
      <w:tr w:rsidR="00215F89" w:rsidRPr="00FD55C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pPr>
            <w:r w:rsidRPr="00DB63F0">
              <w:t>2.</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pPr>
            <w:r w:rsidRPr="00DB63F0">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2643DE">
            <w:pPr>
              <w:pStyle w:val="tvhtmlmktable"/>
              <w:jc w:val="both"/>
            </w:pPr>
            <w:r w:rsidRPr="00DB63F0">
              <w:t>Projekta izpilde notiks esošo pārvaldes funkciju ietvaros</w:t>
            </w:r>
            <w:r w:rsidR="00935FD7" w:rsidRPr="00DB63F0">
              <w:t>.</w:t>
            </w:r>
          </w:p>
        </w:tc>
      </w:tr>
      <w:tr w:rsidR="00215F89" w:rsidRPr="00FD55C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pPr>
            <w:r w:rsidRPr="00DB63F0">
              <w:t>3.</w:t>
            </w:r>
          </w:p>
        </w:tc>
        <w:tc>
          <w:tcPr>
            <w:tcW w:w="0" w:type="auto"/>
            <w:tcBorders>
              <w:top w:val="outset" w:sz="6" w:space="0" w:color="auto"/>
              <w:left w:val="outset" w:sz="6" w:space="0" w:color="auto"/>
              <w:bottom w:val="outset" w:sz="6" w:space="0" w:color="auto"/>
              <w:right w:val="outset" w:sz="6" w:space="0" w:color="auto"/>
            </w:tcBorders>
          </w:tcPr>
          <w:p w:rsidR="009E2850" w:rsidRDefault="00215F89" w:rsidP="007C69C4">
            <w:pPr>
              <w:pStyle w:val="tvhtmlmktable"/>
              <w:spacing w:before="0" w:beforeAutospacing="0" w:after="0" w:afterAutospacing="0"/>
            </w:pPr>
            <w:r w:rsidRPr="00DB63F0">
              <w:t>Projekta izpildes ietekme uz pārvaldes institucionālo struktūru.</w:t>
            </w:r>
          </w:p>
          <w:p w:rsidR="00215F89" w:rsidRPr="00DB63F0" w:rsidRDefault="00215F89" w:rsidP="007C69C4">
            <w:pPr>
              <w:pStyle w:val="tvhtmlmktable"/>
              <w:spacing w:before="0" w:beforeAutospacing="0" w:after="0" w:afterAutospacing="0"/>
            </w:pPr>
            <w:r w:rsidRPr="00DB63F0">
              <w:t>Jaunu institūciju izveide</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pPr>
            <w:r w:rsidRPr="00DB63F0">
              <w:t>Projekts šo jomu neskar</w:t>
            </w:r>
            <w:r w:rsidR="00213CDC" w:rsidRPr="00DB63F0">
              <w:t>.</w:t>
            </w:r>
          </w:p>
        </w:tc>
      </w:tr>
      <w:tr w:rsidR="00215F89" w:rsidRPr="00FD55C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pPr>
            <w:r w:rsidRPr="00DB63F0">
              <w:t>4.</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7C69C4">
            <w:pPr>
              <w:pStyle w:val="tvhtmlmktable"/>
              <w:spacing w:before="0" w:beforeAutospacing="0" w:after="0" w:afterAutospacing="0"/>
            </w:pPr>
            <w:r w:rsidRPr="00DB63F0">
              <w:t>Projekta izpildes ietekme uz pārvaldes institucionālo struktūru.</w:t>
            </w:r>
          </w:p>
          <w:p w:rsidR="00215F89" w:rsidRPr="00DB63F0" w:rsidRDefault="00215F89" w:rsidP="007C69C4">
            <w:pPr>
              <w:pStyle w:val="tvhtmlmktable"/>
              <w:spacing w:before="0" w:beforeAutospacing="0" w:after="0" w:afterAutospacing="0"/>
            </w:pPr>
            <w:r w:rsidRPr="00DB63F0">
              <w:t>Esošu institūciju likvidācija</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935FD7" w:rsidP="00E82260">
            <w:pPr>
              <w:pStyle w:val="tvhtmlmktable"/>
            </w:pPr>
            <w:r w:rsidRPr="00DB63F0">
              <w:t>Projekts šo jomu neskar</w:t>
            </w:r>
            <w:r w:rsidR="00213CDC" w:rsidRPr="00DB63F0">
              <w:t>.</w:t>
            </w:r>
          </w:p>
        </w:tc>
      </w:tr>
      <w:tr w:rsidR="00215F89" w:rsidRPr="00FD55C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pPr>
            <w:r w:rsidRPr="00DB63F0">
              <w:t>5.</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7C69C4">
            <w:pPr>
              <w:pStyle w:val="tvhtmlmktable"/>
              <w:spacing w:before="0" w:beforeAutospacing="0" w:after="0" w:afterAutospacing="0"/>
            </w:pPr>
            <w:r w:rsidRPr="00DB63F0">
              <w:t>Projekta izpildes ietekme uz pārvaldes institucionālo struktūru.</w:t>
            </w:r>
          </w:p>
          <w:p w:rsidR="00215F89" w:rsidRPr="00DB63F0" w:rsidRDefault="00215F89" w:rsidP="007C69C4">
            <w:pPr>
              <w:pStyle w:val="tvhtmlmktable"/>
              <w:spacing w:before="0" w:beforeAutospacing="0" w:after="0" w:afterAutospacing="0"/>
            </w:pPr>
            <w:r w:rsidRPr="00DB63F0">
              <w:t>Esošu institūciju reorganizācija</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935FD7" w:rsidP="00E82260">
            <w:pPr>
              <w:pStyle w:val="tvhtmlmktable"/>
            </w:pPr>
            <w:r w:rsidRPr="00DB63F0">
              <w:t>Projekts šo jomu neskar</w:t>
            </w:r>
            <w:r w:rsidR="00213CDC" w:rsidRPr="00DB63F0">
              <w:t>.</w:t>
            </w:r>
          </w:p>
        </w:tc>
      </w:tr>
      <w:tr w:rsidR="00215F89" w:rsidRPr="00FD55CA">
        <w:trPr>
          <w:tblCellSpacing w:w="15" w:type="dxa"/>
        </w:trPr>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pPr>
            <w:r w:rsidRPr="00DB63F0">
              <w:t>6.</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215F89" w:rsidP="00E82260">
            <w:pPr>
              <w:pStyle w:val="tvhtmlmktable"/>
            </w:pPr>
            <w:r w:rsidRPr="00DB63F0">
              <w:t>Cita informācija</w:t>
            </w:r>
          </w:p>
        </w:tc>
        <w:tc>
          <w:tcPr>
            <w:tcW w:w="0" w:type="auto"/>
            <w:tcBorders>
              <w:top w:val="outset" w:sz="6" w:space="0" w:color="auto"/>
              <w:left w:val="outset" w:sz="6" w:space="0" w:color="auto"/>
              <w:bottom w:val="outset" w:sz="6" w:space="0" w:color="auto"/>
              <w:right w:val="outset" w:sz="6" w:space="0" w:color="auto"/>
            </w:tcBorders>
          </w:tcPr>
          <w:p w:rsidR="00215F89" w:rsidRPr="00DB63F0" w:rsidRDefault="00935FD7" w:rsidP="00E82260">
            <w:pPr>
              <w:pStyle w:val="tvhtmlmktable"/>
            </w:pPr>
            <w:r w:rsidRPr="00DB63F0">
              <w:t>Nav.</w:t>
            </w:r>
          </w:p>
        </w:tc>
      </w:tr>
    </w:tbl>
    <w:p w:rsidR="00CD451E" w:rsidRPr="00DB63F0" w:rsidRDefault="00CD451E" w:rsidP="00551387">
      <w:pPr>
        <w:tabs>
          <w:tab w:val="left" w:pos="7020"/>
        </w:tabs>
      </w:pPr>
    </w:p>
    <w:p w:rsidR="00551387" w:rsidRPr="00DB63F0" w:rsidRDefault="00551387" w:rsidP="00551387">
      <w:pPr>
        <w:tabs>
          <w:tab w:val="left" w:pos="7020"/>
        </w:tabs>
      </w:pPr>
      <w:r w:rsidRPr="00DB63F0">
        <w:t>Aizsardzības ministr</w:t>
      </w:r>
      <w:r w:rsidR="00D3607D" w:rsidRPr="00DB63F0">
        <w:t>s</w:t>
      </w:r>
      <w:r w:rsidR="0099794B">
        <w:tab/>
      </w:r>
      <w:r w:rsidR="00D3607D" w:rsidRPr="00DB63F0">
        <w:t>A.Pabriks</w:t>
      </w:r>
    </w:p>
    <w:p w:rsidR="00551387" w:rsidRPr="00DB63F0" w:rsidRDefault="00551387" w:rsidP="00551387">
      <w:pPr>
        <w:tabs>
          <w:tab w:val="left" w:pos="7020"/>
        </w:tabs>
      </w:pPr>
    </w:p>
    <w:p w:rsidR="00551387" w:rsidRPr="00DB63F0" w:rsidRDefault="00551387" w:rsidP="00551387">
      <w:pPr>
        <w:tabs>
          <w:tab w:val="left" w:pos="7020"/>
        </w:tabs>
      </w:pPr>
      <w:r w:rsidRPr="00DB63F0">
        <w:t>Vīza: Aizsardzības</w:t>
      </w:r>
      <w:r w:rsidR="00601CF0" w:rsidRPr="00DB63F0">
        <w:t xml:space="preserve"> ministrijas valsts sekretārs</w:t>
      </w:r>
      <w:r w:rsidR="00601CF0" w:rsidRPr="00DB63F0">
        <w:tab/>
        <w:t>J.</w:t>
      </w:r>
      <w:r w:rsidRPr="00DB63F0">
        <w:t>Sārts</w:t>
      </w:r>
    </w:p>
    <w:p w:rsidR="00E82260" w:rsidRDefault="00E82260"/>
    <w:p w:rsidR="00DC6AEE" w:rsidRDefault="00DC6AEE" w:rsidP="008C18A7">
      <w:pPr>
        <w:jc w:val="both"/>
        <w:rPr>
          <w:sz w:val="20"/>
          <w:szCs w:val="20"/>
        </w:rPr>
      </w:pPr>
    </w:p>
    <w:p w:rsidR="008C18A7" w:rsidRPr="00DB63F0" w:rsidRDefault="004D300F" w:rsidP="008C18A7">
      <w:pPr>
        <w:jc w:val="both"/>
        <w:rPr>
          <w:sz w:val="20"/>
          <w:szCs w:val="20"/>
        </w:rPr>
      </w:pPr>
      <w:r>
        <w:rPr>
          <w:sz w:val="20"/>
          <w:szCs w:val="20"/>
        </w:rPr>
        <w:t>2</w:t>
      </w:r>
      <w:r w:rsidR="009E2850">
        <w:rPr>
          <w:sz w:val="20"/>
          <w:szCs w:val="20"/>
        </w:rPr>
        <w:t>6</w:t>
      </w:r>
      <w:r w:rsidR="008C18A7" w:rsidRPr="00DB63F0">
        <w:rPr>
          <w:sz w:val="20"/>
          <w:szCs w:val="20"/>
        </w:rPr>
        <w:t>.</w:t>
      </w:r>
      <w:r w:rsidR="008557AD" w:rsidRPr="00DB63F0">
        <w:rPr>
          <w:sz w:val="20"/>
          <w:szCs w:val="20"/>
        </w:rPr>
        <w:t>1</w:t>
      </w:r>
      <w:r w:rsidR="00CF28EF">
        <w:rPr>
          <w:sz w:val="20"/>
          <w:szCs w:val="20"/>
        </w:rPr>
        <w:t>1</w:t>
      </w:r>
      <w:r w:rsidR="008C18A7" w:rsidRPr="00DB63F0">
        <w:rPr>
          <w:sz w:val="20"/>
          <w:szCs w:val="20"/>
        </w:rPr>
        <w:t>.201</w:t>
      </w:r>
      <w:r w:rsidR="001A045B" w:rsidRPr="00DB63F0">
        <w:rPr>
          <w:sz w:val="20"/>
          <w:szCs w:val="20"/>
        </w:rPr>
        <w:t>3</w:t>
      </w:r>
      <w:r w:rsidR="008C18A7" w:rsidRPr="00DB63F0">
        <w:rPr>
          <w:sz w:val="20"/>
          <w:szCs w:val="20"/>
        </w:rPr>
        <w:t>.</w:t>
      </w:r>
    </w:p>
    <w:p w:rsidR="008C18A7" w:rsidRPr="00DB63F0" w:rsidRDefault="008109C5" w:rsidP="008C18A7">
      <w:pPr>
        <w:ind w:right="2"/>
        <w:jc w:val="both"/>
        <w:rPr>
          <w:sz w:val="20"/>
          <w:szCs w:val="20"/>
        </w:rPr>
      </w:pPr>
      <w:r>
        <w:rPr>
          <w:noProof/>
          <w:sz w:val="20"/>
          <w:szCs w:val="20"/>
        </w:rPr>
        <w:t>1</w:t>
      </w:r>
      <w:r w:rsidR="004D300F">
        <w:rPr>
          <w:noProof/>
          <w:sz w:val="20"/>
          <w:szCs w:val="20"/>
        </w:rPr>
        <w:t>3</w:t>
      </w:r>
      <w:r w:rsidR="009E2850">
        <w:rPr>
          <w:noProof/>
          <w:sz w:val="20"/>
          <w:szCs w:val="20"/>
        </w:rPr>
        <w:t>33</w:t>
      </w:r>
    </w:p>
    <w:p w:rsidR="008C18A7" w:rsidRPr="00DB63F0" w:rsidRDefault="008C18A7" w:rsidP="008C18A7">
      <w:pPr>
        <w:jc w:val="both"/>
        <w:rPr>
          <w:sz w:val="20"/>
          <w:szCs w:val="20"/>
        </w:rPr>
      </w:pPr>
      <w:r w:rsidRPr="00DB63F0">
        <w:rPr>
          <w:sz w:val="20"/>
          <w:szCs w:val="20"/>
        </w:rPr>
        <w:t>Elvīra Šmukste</w:t>
      </w:r>
    </w:p>
    <w:p w:rsidR="008C18A7" w:rsidRPr="00DB63F0" w:rsidRDefault="008C18A7" w:rsidP="008C18A7">
      <w:pPr>
        <w:jc w:val="both"/>
        <w:rPr>
          <w:sz w:val="20"/>
          <w:szCs w:val="20"/>
        </w:rPr>
      </w:pPr>
      <w:r w:rsidRPr="00DB63F0">
        <w:rPr>
          <w:sz w:val="20"/>
          <w:szCs w:val="20"/>
        </w:rPr>
        <w:fldChar w:fldCharType="begin"/>
      </w:r>
      <w:r w:rsidRPr="00DB63F0">
        <w:rPr>
          <w:sz w:val="20"/>
          <w:szCs w:val="20"/>
        </w:rPr>
        <w:instrText xml:space="preserve"> COMMENTS   \* MERGEFORMAT </w:instrText>
      </w:r>
      <w:r w:rsidRPr="00DB63F0">
        <w:rPr>
          <w:sz w:val="20"/>
          <w:szCs w:val="20"/>
        </w:rPr>
        <w:fldChar w:fldCharType="separate"/>
      </w:r>
      <w:r w:rsidRPr="00DB63F0">
        <w:rPr>
          <w:sz w:val="20"/>
          <w:szCs w:val="20"/>
        </w:rPr>
        <w:t>elvira.smukste@mod.gov.lv</w:t>
      </w:r>
    </w:p>
    <w:p w:rsidR="00F81532" w:rsidRPr="00FD55CA" w:rsidRDefault="008C18A7" w:rsidP="00F81532">
      <w:pPr>
        <w:jc w:val="both"/>
      </w:pPr>
      <w:r w:rsidRPr="00DB63F0">
        <w:rPr>
          <w:sz w:val="20"/>
          <w:szCs w:val="20"/>
        </w:rPr>
        <w:t>tel:.67335298   fakss:67212307</w:t>
      </w:r>
      <w:r w:rsidRPr="00FD55CA">
        <w:t xml:space="preserve"> </w:t>
      </w:r>
      <w:r w:rsidRPr="00DB63F0">
        <w:fldChar w:fldCharType="end"/>
      </w:r>
    </w:p>
    <w:sectPr w:rsidR="00F81532" w:rsidRPr="00FD55CA" w:rsidSect="00DB63F0">
      <w:footerReference w:type="even"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07" w:rsidRDefault="00066E07">
      <w:r>
        <w:separator/>
      </w:r>
    </w:p>
  </w:endnote>
  <w:endnote w:type="continuationSeparator" w:id="0">
    <w:p w:rsidR="00066E07" w:rsidRDefault="0006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BF" w:rsidRDefault="00995ABF" w:rsidP="00132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ABF" w:rsidRDefault="00995ABF" w:rsidP="003D39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BF" w:rsidRDefault="00995ABF" w:rsidP="00132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69A">
      <w:rPr>
        <w:rStyle w:val="PageNumber"/>
        <w:noProof/>
      </w:rPr>
      <w:t>4</w:t>
    </w:r>
    <w:r>
      <w:rPr>
        <w:rStyle w:val="PageNumber"/>
      </w:rPr>
      <w:fldChar w:fldCharType="end"/>
    </w:r>
  </w:p>
  <w:p w:rsidR="00995ABF" w:rsidRPr="004205C0" w:rsidRDefault="00995ABF" w:rsidP="00CF187B">
    <w:pPr>
      <w:jc w:val="both"/>
      <w:rPr>
        <w:sz w:val="20"/>
        <w:szCs w:val="20"/>
      </w:rPr>
    </w:pPr>
    <w:r>
      <w:rPr>
        <w:sz w:val="20"/>
        <w:szCs w:val="20"/>
      </w:rPr>
      <w:t>AIMA</w:t>
    </w:r>
    <w:r w:rsidRPr="00776510">
      <w:rPr>
        <w:sz w:val="20"/>
        <w:szCs w:val="20"/>
      </w:rPr>
      <w:t>not_</w:t>
    </w:r>
    <w:r w:rsidR="00BD5979">
      <w:rPr>
        <w:sz w:val="20"/>
        <w:szCs w:val="20"/>
      </w:rPr>
      <w:t>2</w:t>
    </w:r>
    <w:r w:rsidR="009E2850">
      <w:rPr>
        <w:sz w:val="20"/>
        <w:szCs w:val="20"/>
      </w:rPr>
      <w:t>6</w:t>
    </w:r>
    <w:r w:rsidR="004143F0">
      <w:rPr>
        <w:sz w:val="20"/>
        <w:szCs w:val="20"/>
      </w:rPr>
      <w:t>1</w:t>
    </w:r>
    <w:r w:rsidR="00710DB5">
      <w:rPr>
        <w:sz w:val="20"/>
        <w:szCs w:val="20"/>
      </w:rPr>
      <w:t>1</w:t>
    </w:r>
    <w:r w:rsidR="004143F0">
      <w:rPr>
        <w:sz w:val="20"/>
        <w:szCs w:val="20"/>
      </w:rPr>
      <w:t>2</w:t>
    </w:r>
    <w:r>
      <w:rPr>
        <w:sz w:val="20"/>
        <w:szCs w:val="20"/>
      </w:rPr>
      <w:t>01</w:t>
    </w:r>
    <w:r w:rsidR="001A045B">
      <w:rPr>
        <w:sz w:val="20"/>
        <w:szCs w:val="20"/>
      </w:rPr>
      <w:t>3</w:t>
    </w:r>
    <w:r w:rsidRPr="00776510">
      <w:rPr>
        <w:sz w:val="20"/>
        <w:szCs w:val="20"/>
      </w:rPr>
      <w:t>_</w:t>
    </w:r>
    <w:r w:rsidR="001A045B">
      <w:rPr>
        <w:sz w:val="20"/>
        <w:szCs w:val="20"/>
      </w:rPr>
      <w:t>TA_1957</w:t>
    </w:r>
    <w:r w:rsidRPr="00776510">
      <w:rPr>
        <w:sz w:val="20"/>
        <w:szCs w:val="20"/>
      </w:rPr>
      <w:t>;</w:t>
    </w:r>
    <w:r w:rsidRPr="004205C0">
      <w:rPr>
        <w:bCs/>
      </w:rPr>
      <w:t xml:space="preserve"> </w:t>
    </w:r>
    <w:r w:rsidRPr="004205C0">
      <w:rPr>
        <w:bCs/>
        <w:sz w:val="20"/>
        <w:szCs w:val="20"/>
      </w:rPr>
      <w:t>Grozījum</w:t>
    </w:r>
    <w:r>
      <w:rPr>
        <w:bCs/>
        <w:sz w:val="20"/>
        <w:szCs w:val="20"/>
      </w:rPr>
      <w:t>s</w:t>
    </w:r>
    <w:r w:rsidRPr="004205C0">
      <w:rPr>
        <w:bCs/>
        <w:sz w:val="20"/>
        <w:szCs w:val="20"/>
      </w:rPr>
      <w:t xml:space="preserve"> </w:t>
    </w:r>
    <w:r w:rsidR="001A045B">
      <w:rPr>
        <w:bCs/>
        <w:sz w:val="20"/>
        <w:szCs w:val="20"/>
      </w:rPr>
      <w:t>likumā _Par valsts noslēpumu</w:t>
    </w:r>
    <w:r w:rsidR="00165CCB">
      <w:rPr>
        <w:bCs/>
        <w:sz w:val="20"/>
        <w:szCs w:val="20"/>
      </w:rPr>
      <w:t xml:space="preserve"> </w:t>
    </w:r>
    <w:r w:rsidRPr="004205C0">
      <w:rPr>
        <w:bCs/>
        <w:sz w:val="20"/>
        <w:szCs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CCB" w:rsidRPr="004205C0" w:rsidRDefault="00165CCB" w:rsidP="00165CCB">
    <w:pPr>
      <w:jc w:val="both"/>
      <w:rPr>
        <w:sz w:val="20"/>
        <w:szCs w:val="20"/>
      </w:rPr>
    </w:pPr>
    <w:r>
      <w:rPr>
        <w:sz w:val="20"/>
        <w:szCs w:val="20"/>
      </w:rPr>
      <w:t>AIMA</w:t>
    </w:r>
    <w:r w:rsidRPr="00776510">
      <w:rPr>
        <w:sz w:val="20"/>
        <w:szCs w:val="20"/>
      </w:rPr>
      <w:t>not_</w:t>
    </w:r>
    <w:r w:rsidR="00D05695">
      <w:rPr>
        <w:sz w:val="20"/>
        <w:szCs w:val="20"/>
      </w:rPr>
      <w:t>2</w:t>
    </w:r>
    <w:r w:rsidR="009E2850">
      <w:rPr>
        <w:sz w:val="20"/>
        <w:szCs w:val="20"/>
      </w:rPr>
      <w:t>6</w:t>
    </w:r>
    <w:r w:rsidR="00504D09">
      <w:rPr>
        <w:sz w:val="20"/>
        <w:szCs w:val="20"/>
      </w:rPr>
      <w:t>1</w:t>
    </w:r>
    <w:r w:rsidR="00CF28EF">
      <w:rPr>
        <w:sz w:val="20"/>
        <w:szCs w:val="20"/>
      </w:rPr>
      <w:t>1</w:t>
    </w:r>
    <w:r w:rsidR="00504D09">
      <w:rPr>
        <w:sz w:val="20"/>
        <w:szCs w:val="20"/>
      </w:rPr>
      <w:t>2</w:t>
    </w:r>
    <w:r>
      <w:rPr>
        <w:sz w:val="20"/>
        <w:szCs w:val="20"/>
      </w:rPr>
      <w:t>013</w:t>
    </w:r>
    <w:r w:rsidRPr="00776510">
      <w:rPr>
        <w:sz w:val="20"/>
        <w:szCs w:val="20"/>
      </w:rPr>
      <w:t>_</w:t>
    </w:r>
    <w:r>
      <w:rPr>
        <w:sz w:val="20"/>
        <w:szCs w:val="20"/>
      </w:rPr>
      <w:t>TA_1957</w:t>
    </w:r>
    <w:r w:rsidRPr="00776510">
      <w:rPr>
        <w:sz w:val="20"/>
        <w:szCs w:val="20"/>
      </w:rPr>
      <w:t>;</w:t>
    </w:r>
    <w:r w:rsidRPr="004205C0">
      <w:rPr>
        <w:bCs/>
      </w:rPr>
      <w:t xml:space="preserve"> </w:t>
    </w:r>
    <w:r w:rsidRPr="004205C0">
      <w:rPr>
        <w:bCs/>
        <w:sz w:val="20"/>
        <w:szCs w:val="20"/>
      </w:rPr>
      <w:t>Grozījum</w:t>
    </w:r>
    <w:r>
      <w:rPr>
        <w:bCs/>
        <w:sz w:val="20"/>
        <w:szCs w:val="20"/>
      </w:rPr>
      <w:t>s</w:t>
    </w:r>
    <w:r w:rsidRPr="004205C0">
      <w:rPr>
        <w:bCs/>
        <w:sz w:val="20"/>
        <w:szCs w:val="20"/>
      </w:rPr>
      <w:t xml:space="preserve"> </w:t>
    </w:r>
    <w:r>
      <w:rPr>
        <w:bCs/>
        <w:sz w:val="20"/>
        <w:szCs w:val="20"/>
      </w:rPr>
      <w:t xml:space="preserve">likumā _Par valsts noslēpumu </w:t>
    </w:r>
    <w:r w:rsidRPr="004205C0">
      <w:rPr>
        <w:bCs/>
        <w:sz w:val="20"/>
        <w:szCs w:val="20"/>
      </w:rPr>
      <w:t>(anotācija)</w:t>
    </w:r>
  </w:p>
  <w:p w:rsidR="00995ABF" w:rsidRDefault="00995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07" w:rsidRDefault="00066E07">
      <w:r>
        <w:separator/>
      </w:r>
    </w:p>
  </w:footnote>
  <w:footnote w:type="continuationSeparator" w:id="0">
    <w:p w:rsidR="00066E07" w:rsidRDefault="00066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44E11"/>
    <w:multiLevelType w:val="hybridMultilevel"/>
    <w:tmpl w:val="7F2C37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C4"/>
    <w:rsid w:val="000009A5"/>
    <w:rsid w:val="00003D42"/>
    <w:rsid w:val="000047A4"/>
    <w:rsid w:val="00017977"/>
    <w:rsid w:val="00030FEB"/>
    <w:rsid w:val="00034011"/>
    <w:rsid w:val="00034E67"/>
    <w:rsid w:val="00036428"/>
    <w:rsid w:val="00044A07"/>
    <w:rsid w:val="00066E07"/>
    <w:rsid w:val="00076E81"/>
    <w:rsid w:val="000818BF"/>
    <w:rsid w:val="00082ACF"/>
    <w:rsid w:val="000837D7"/>
    <w:rsid w:val="00104C65"/>
    <w:rsid w:val="00124F94"/>
    <w:rsid w:val="00131948"/>
    <w:rsid w:val="00132493"/>
    <w:rsid w:val="00160398"/>
    <w:rsid w:val="001635EE"/>
    <w:rsid w:val="00165CCB"/>
    <w:rsid w:val="00183BBB"/>
    <w:rsid w:val="001841BF"/>
    <w:rsid w:val="0019796F"/>
    <w:rsid w:val="001A045B"/>
    <w:rsid w:val="001B4EE1"/>
    <w:rsid w:val="001B7EFD"/>
    <w:rsid w:val="001C3497"/>
    <w:rsid w:val="001D4785"/>
    <w:rsid w:val="001F496F"/>
    <w:rsid w:val="00213CDC"/>
    <w:rsid w:val="00215F89"/>
    <w:rsid w:val="002241C5"/>
    <w:rsid w:val="00227552"/>
    <w:rsid w:val="0023293B"/>
    <w:rsid w:val="00243DA1"/>
    <w:rsid w:val="00244838"/>
    <w:rsid w:val="002453D3"/>
    <w:rsid w:val="00247AD7"/>
    <w:rsid w:val="002643DE"/>
    <w:rsid w:val="00270867"/>
    <w:rsid w:val="0028692B"/>
    <w:rsid w:val="002979FE"/>
    <w:rsid w:val="002E226D"/>
    <w:rsid w:val="002E3454"/>
    <w:rsid w:val="002F0947"/>
    <w:rsid w:val="002F3EC8"/>
    <w:rsid w:val="002F4C33"/>
    <w:rsid w:val="00310444"/>
    <w:rsid w:val="00311A51"/>
    <w:rsid w:val="00315D29"/>
    <w:rsid w:val="003274EA"/>
    <w:rsid w:val="003441B4"/>
    <w:rsid w:val="00346187"/>
    <w:rsid w:val="00353AD9"/>
    <w:rsid w:val="00356E0F"/>
    <w:rsid w:val="003643CF"/>
    <w:rsid w:val="00381745"/>
    <w:rsid w:val="0039173C"/>
    <w:rsid w:val="003A06AE"/>
    <w:rsid w:val="003C13BC"/>
    <w:rsid w:val="003C2874"/>
    <w:rsid w:val="003D3070"/>
    <w:rsid w:val="003D39DE"/>
    <w:rsid w:val="003F38FA"/>
    <w:rsid w:val="004143F0"/>
    <w:rsid w:val="00415AE0"/>
    <w:rsid w:val="004205C0"/>
    <w:rsid w:val="00432D23"/>
    <w:rsid w:val="004462A4"/>
    <w:rsid w:val="004464B5"/>
    <w:rsid w:val="004759B7"/>
    <w:rsid w:val="00487D25"/>
    <w:rsid w:val="004954F7"/>
    <w:rsid w:val="004A398B"/>
    <w:rsid w:val="004B28E2"/>
    <w:rsid w:val="004B4637"/>
    <w:rsid w:val="004C13A3"/>
    <w:rsid w:val="004C40DC"/>
    <w:rsid w:val="004D300F"/>
    <w:rsid w:val="004D3DC0"/>
    <w:rsid w:val="004F42A4"/>
    <w:rsid w:val="00504D09"/>
    <w:rsid w:val="00506719"/>
    <w:rsid w:val="00516C3B"/>
    <w:rsid w:val="0053297D"/>
    <w:rsid w:val="00533FC4"/>
    <w:rsid w:val="00535115"/>
    <w:rsid w:val="00537033"/>
    <w:rsid w:val="00543C96"/>
    <w:rsid w:val="005447DB"/>
    <w:rsid w:val="0054508B"/>
    <w:rsid w:val="00551387"/>
    <w:rsid w:val="00555A92"/>
    <w:rsid w:val="00556A76"/>
    <w:rsid w:val="00577905"/>
    <w:rsid w:val="005958F9"/>
    <w:rsid w:val="005A68EF"/>
    <w:rsid w:val="005A7448"/>
    <w:rsid w:val="005D1D02"/>
    <w:rsid w:val="005D31A4"/>
    <w:rsid w:val="005D497B"/>
    <w:rsid w:val="005E31A2"/>
    <w:rsid w:val="005E5858"/>
    <w:rsid w:val="005F4271"/>
    <w:rsid w:val="005F5162"/>
    <w:rsid w:val="00601CF0"/>
    <w:rsid w:val="00610261"/>
    <w:rsid w:val="00612245"/>
    <w:rsid w:val="00633EA7"/>
    <w:rsid w:val="00634ECB"/>
    <w:rsid w:val="00655213"/>
    <w:rsid w:val="00676088"/>
    <w:rsid w:val="00676484"/>
    <w:rsid w:val="00682437"/>
    <w:rsid w:val="0068435A"/>
    <w:rsid w:val="00685256"/>
    <w:rsid w:val="006A6563"/>
    <w:rsid w:val="006A6573"/>
    <w:rsid w:val="006B569F"/>
    <w:rsid w:val="006B61A4"/>
    <w:rsid w:val="006B7372"/>
    <w:rsid w:val="006C635B"/>
    <w:rsid w:val="006D566E"/>
    <w:rsid w:val="006D6778"/>
    <w:rsid w:val="006E4107"/>
    <w:rsid w:val="007065EF"/>
    <w:rsid w:val="00710DB5"/>
    <w:rsid w:val="00716051"/>
    <w:rsid w:val="007332B2"/>
    <w:rsid w:val="00734377"/>
    <w:rsid w:val="00744142"/>
    <w:rsid w:val="00744834"/>
    <w:rsid w:val="00744EF6"/>
    <w:rsid w:val="00764AC3"/>
    <w:rsid w:val="00766CBE"/>
    <w:rsid w:val="00776510"/>
    <w:rsid w:val="00797D26"/>
    <w:rsid w:val="007A08FE"/>
    <w:rsid w:val="007A2FD4"/>
    <w:rsid w:val="007A487A"/>
    <w:rsid w:val="007A699A"/>
    <w:rsid w:val="007C0FB5"/>
    <w:rsid w:val="007C69C4"/>
    <w:rsid w:val="007D71EA"/>
    <w:rsid w:val="007E176E"/>
    <w:rsid w:val="007E6A96"/>
    <w:rsid w:val="007F6B79"/>
    <w:rsid w:val="008109C5"/>
    <w:rsid w:val="00815DA3"/>
    <w:rsid w:val="00817B68"/>
    <w:rsid w:val="0082216E"/>
    <w:rsid w:val="00831C00"/>
    <w:rsid w:val="00843FFA"/>
    <w:rsid w:val="008557AD"/>
    <w:rsid w:val="00856687"/>
    <w:rsid w:val="008622E4"/>
    <w:rsid w:val="0086378C"/>
    <w:rsid w:val="0087433C"/>
    <w:rsid w:val="00880B73"/>
    <w:rsid w:val="00891545"/>
    <w:rsid w:val="00896A3F"/>
    <w:rsid w:val="008A3C53"/>
    <w:rsid w:val="008A56D3"/>
    <w:rsid w:val="008B0C58"/>
    <w:rsid w:val="008C18A7"/>
    <w:rsid w:val="008C4355"/>
    <w:rsid w:val="008D31B8"/>
    <w:rsid w:val="008D5AAA"/>
    <w:rsid w:val="008E288C"/>
    <w:rsid w:val="008E37D2"/>
    <w:rsid w:val="008F06E6"/>
    <w:rsid w:val="00910B97"/>
    <w:rsid w:val="00916C89"/>
    <w:rsid w:val="009252A4"/>
    <w:rsid w:val="009258B7"/>
    <w:rsid w:val="00935CA1"/>
    <w:rsid w:val="00935FD7"/>
    <w:rsid w:val="009403DD"/>
    <w:rsid w:val="009427E0"/>
    <w:rsid w:val="009432BA"/>
    <w:rsid w:val="009623E9"/>
    <w:rsid w:val="00965848"/>
    <w:rsid w:val="009740CC"/>
    <w:rsid w:val="0097712C"/>
    <w:rsid w:val="009830C4"/>
    <w:rsid w:val="00983ACC"/>
    <w:rsid w:val="00986F6C"/>
    <w:rsid w:val="00995ABF"/>
    <w:rsid w:val="0099794B"/>
    <w:rsid w:val="009C14FF"/>
    <w:rsid w:val="009C1C78"/>
    <w:rsid w:val="009D3E05"/>
    <w:rsid w:val="009E2850"/>
    <w:rsid w:val="009E36CD"/>
    <w:rsid w:val="009F2D94"/>
    <w:rsid w:val="00A0299B"/>
    <w:rsid w:val="00A04024"/>
    <w:rsid w:val="00A1069A"/>
    <w:rsid w:val="00A15F82"/>
    <w:rsid w:val="00A33A58"/>
    <w:rsid w:val="00A40DE5"/>
    <w:rsid w:val="00A426C1"/>
    <w:rsid w:val="00A62F60"/>
    <w:rsid w:val="00A766D1"/>
    <w:rsid w:val="00A81C2B"/>
    <w:rsid w:val="00A8699C"/>
    <w:rsid w:val="00A97B88"/>
    <w:rsid w:val="00AA45A8"/>
    <w:rsid w:val="00AA5E66"/>
    <w:rsid w:val="00AB1EAD"/>
    <w:rsid w:val="00AC75A9"/>
    <w:rsid w:val="00AE5D42"/>
    <w:rsid w:val="00AF06A0"/>
    <w:rsid w:val="00AF1B81"/>
    <w:rsid w:val="00B015DE"/>
    <w:rsid w:val="00B1681B"/>
    <w:rsid w:val="00B17819"/>
    <w:rsid w:val="00B2098B"/>
    <w:rsid w:val="00B21D84"/>
    <w:rsid w:val="00B243A2"/>
    <w:rsid w:val="00B24D55"/>
    <w:rsid w:val="00B25A20"/>
    <w:rsid w:val="00B30481"/>
    <w:rsid w:val="00B30BC8"/>
    <w:rsid w:val="00B35009"/>
    <w:rsid w:val="00B41BA4"/>
    <w:rsid w:val="00B44B06"/>
    <w:rsid w:val="00B52DAC"/>
    <w:rsid w:val="00B74ED2"/>
    <w:rsid w:val="00B773A2"/>
    <w:rsid w:val="00B77BD4"/>
    <w:rsid w:val="00B855F8"/>
    <w:rsid w:val="00B91519"/>
    <w:rsid w:val="00B93C6C"/>
    <w:rsid w:val="00BA2BED"/>
    <w:rsid w:val="00BA5369"/>
    <w:rsid w:val="00BA7405"/>
    <w:rsid w:val="00BB49E0"/>
    <w:rsid w:val="00BC36C3"/>
    <w:rsid w:val="00BD06F1"/>
    <w:rsid w:val="00BD0E9E"/>
    <w:rsid w:val="00BD3ED0"/>
    <w:rsid w:val="00BD5979"/>
    <w:rsid w:val="00BF1E2A"/>
    <w:rsid w:val="00BF26BC"/>
    <w:rsid w:val="00C00023"/>
    <w:rsid w:val="00C0274A"/>
    <w:rsid w:val="00C05DA5"/>
    <w:rsid w:val="00C203DD"/>
    <w:rsid w:val="00C265F3"/>
    <w:rsid w:val="00C47B03"/>
    <w:rsid w:val="00C52BB1"/>
    <w:rsid w:val="00C551DD"/>
    <w:rsid w:val="00C56DCC"/>
    <w:rsid w:val="00C57670"/>
    <w:rsid w:val="00C97235"/>
    <w:rsid w:val="00CA75E0"/>
    <w:rsid w:val="00CB0F8C"/>
    <w:rsid w:val="00CB1AC0"/>
    <w:rsid w:val="00CB29F0"/>
    <w:rsid w:val="00CB6AD8"/>
    <w:rsid w:val="00CD0603"/>
    <w:rsid w:val="00CD0A2C"/>
    <w:rsid w:val="00CD2246"/>
    <w:rsid w:val="00CD451E"/>
    <w:rsid w:val="00CD608C"/>
    <w:rsid w:val="00CE4244"/>
    <w:rsid w:val="00CF187B"/>
    <w:rsid w:val="00CF28EF"/>
    <w:rsid w:val="00CF3D45"/>
    <w:rsid w:val="00CF3F35"/>
    <w:rsid w:val="00D05695"/>
    <w:rsid w:val="00D119D8"/>
    <w:rsid w:val="00D11D49"/>
    <w:rsid w:val="00D3607D"/>
    <w:rsid w:val="00D424B9"/>
    <w:rsid w:val="00D429F0"/>
    <w:rsid w:val="00D473EA"/>
    <w:rsid w:val="00D5136E"/>
    <w:rsid w:val="00D5289B"/>
    <w:rsid w:val="00D52AA5"/>
    <w:rsid w:val="00D61601"/>
    <w:rsid w:val="00D6359C"/>
    <w:rsid w:val="00D64E76"/>
    <w:rsid w:val="00D677F1"/>
    <w:rsid w:val="00D71770"/>
    <w:rsid w:val="00D812D3"/>
    <w:rsid w:val="00D83153"/>
    <w:rsid w:val="00DA41D7"/>
    <w:rsid w:val="00DB4A11"/>
    <w:rsid w:val="00DB63F0"/>
    <w:rsid w:val="00DC6AEE"/>
    <w:rsid w:val="00DD5A10"/>
    <w:rsid w:val="00DD61AB"/>
    <w:rsid w:val="00E24C9F"/>
    <w:rsid w:val="00E26B25"/>
    <w:rsid w:val="00E55D1B"/>
    <w:rsid w:val="00E610B6"/>
    <w:rsid w:val="00E72AE4"/>
    <w:rsid w:val="00E80052"/>
    <w:rsid w:val="00E82260"/>
    <w:rsid w:val="00EA36B6"/>
    <w:rsid w:val="00EA7F20"/>
    <w:rsid w:val="00EB0E8C"/>
    <w:rsid w:val="00EB2213"/>
    <w:rsid w:val="00EC0CD6"/>
    <w:rsid w:val="00EF088C"/>
    <w:rsid w:val="00F05FF9"/>
    <w:rsid w:val="00F20A4B"/>
    <w:rsid w:val="00F518D7"/>
    <w:rsid w:val="00F635A0"/>
    <w:rsid w:val="00F6563C"/>
    <w:rsid w:val="00F67199"/>
    <w:rsid w:val="00F81532"/>
    <w:rsid w:val="00F8292B"/>
    <w:rsid w:val="00F831F6"/>
    <w:rsid w:val="00F86EFC"/>
    <w:rsid w:val="00F90BCF"/>
    <w:rsid w:val="00F91F6D"/>
    <w:rsid w:val="00FA4868"/>
    <w:rsid w:val="00FD55CA"/>
    <w:rsid w:val="00FD6BC8"/>
    <w:rsid w:val="00FE03A9"/>
    <w:rsid w:val="00FE3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mktable">
    <w:name w:val="tv_html mk_table"/>
    <w:basedOn w:val="Normal"/>
    <w:rsid w:val="00533FC4"/>
    <w:pPr>
      <w:spacing w:before="100" w:beforeAutospacing="1" w:after="100" w:afterAutospacing="1"/>
    </w:pPr>
  </w:style>
  <w:style w:type="paragraph" w:styleId="Header">
    <w:name w:val="header"/>
    <w:basedOn w:val="Normal"/>
    <w:link w:val="HeaderChar"/>
    <w:rsid w:val="00533FC4"/>
    <w:pPr>
      <w:tabs>
        <w:tab w:val="center" w:pos="4153"/>
        <w:tab w:val="right" w:pos="8306"/>
      </w:tabs>
    </w:pPr>
    <w:rPr>
      <w:rFonts w:ascii="Dutch TL" w:hAnsi="Dutch TL"/>
      <w:sz w:val="28"/>
      <w:szCs w:val="20"/>
      <w:lang w:eastAsia="zh-TW"/>
    </w:rPr>
  </w:style>
  <w:style w:type="paragraph" w:styleId="Footer">
    <w:name w:val="footer"/>
    <w:basedOn w:val="Normal"/>
    <w:rsid w:val="00744834"/>
    <w:pPr>
      <w:tabs>
        <w:tab w:val="center" w:pos="4153"/>
        <w:tab w:val="right" w:pos="8306"/>
      </w:tabs>
    </w:pPr>
  </w:style>
  <w:style w:type="paragraph" w:styleId="BalloonText">
    <w:name w:val="Balloon Text"/>
    <w:basedOn w:val="Normal"/>
    <w:semiHidden/>
    <w:rsid w:val="00B2098B"/>
    <w:rPr>
      <w:rFonts w:ascii="Tahoma" w:hAnsi="Tahoma" w:cs="Tahoma"/>
      <w:sz w:val="16"/>
      <w:szCs w:val="16"/>
    </w:rPr>
  </w:style>
  <w:style w:type="character" w:styleId="CommentReference">
    <w:name w:val="annotation reference"/>
    <w:semiHidden/>
    <w:rsid w:val="00B41BA4"/>
    <w:rPr>
      <w:sz w:val="16"/>
      <w:szCs w:val="16"/>
    </w:rPr>
  </w:style>
  <w:style w:type="paragraph" w:styleId="CommentText">
    <w:name w:val="annotation text"/>
    <w:basedOn w:val="Normal"/>
    <w:semiHidden/>
    <w:rsid w:val="00B41BA4"/>
    <w:rPr>
      <w:sz w:val="20"/>
      <w:szCs w:val="20"/>
    </w:rPr>
  </w:style>
  <w:style w:type="paragraph" w:styleId="CommentSubject">
    <w:name w:val="annotation subject"/>
    <w:basedOn w:val="CommentText"/>
    <w:next w:val="CommentText"/>
    <w:semiHidden/>
    <w:rsid w:val="00B41BA4"/>
    <w:rPr>
      <w:b/>
      <w:bCs/>
    </w:rPr>
  </w:style>
  <w:style w:type="character" w:styleId="PageNumber">
    <w:name w:val="page number"/>
    <w:basedOn w:val="DefaultParagraphFont"/>
    <w:rsid w:val="003D39DE"/>
  </w:style>
  <w:style w:type="character" w:customStyle="1" w:styleId="HeaderChar">
    <w:name w:val="Header Char"/>
    <w:link w:val="Header"/>
    <w:rsid w:val="000009A5"/>
    <w:rPr>
      <w:rFonts w:ascii="Dutch TL" w:hAnsi="Dutch TL"/>
      <w:sz w:val="28"/>
      <w:lang w:eastAsia="zh-TW"/>
    </w:rPr>
  </w:style>
  <w:style w:type="paragraph" w:styleId="ListParagraph">
    <w:name w:val="List Paragraph"/>
    <w:basedOn w:val="Normal"/>
    <w:uiPriority w:val="34"/>
    <w:qFormat/>
    <w:rsid w:val="004A398B"/>
    <w:pPr>
      <w:ind w:left="720"/>
      <w:contextualSpacing/>
    </w:pPr>
  </w:style>
  <w:style w:type="paragraph" w:styleId="Title">
    <w:name w:val="Title"/>
    <w:basedOn w:val="Normal"/>
    <w:link w:val="TitleChar"/>
    <w:qFormat/>
    <w:rsid w:val="00B1681B"/>
    <w:pPr>
      <w:jc w:val="center"/>
    </w:pPr>
    <w:rPr>
      <w:b/>
      <w:sz w:val="32"/>
      <w:szCs w:val="20"/>
      <w:lang w:eastAsia="en-US"/>
    </w:rPr>
  </w:style>
  <w:style w:type="character" w:customStyle="1" w:styleId="TitleChar">
    <w:name w:val="Title Char"/>
    <w:basedOn w:val="DefaultParagraphFont"/>
    <w:link w:val="Title"/>
    <w:rsid w:val="00B1681B"/>
    <w:rPr>
      <w:b/>
      <w:sz w:val="32"/>
      <w:lang w:eastAsia="en-US"/>
    </w:rPr>
  </w:style>
  <w:style w:type="paragraph" w:customStyle="1" w:styleId="naiskr">
    <w:name w:val="naiskr"/>
    <w:basedOn w:val="Normal"/>
    <w:rsid w:val="001B7EFD"/>
    <w:pPr>
      <w:spacing w:before="100" w:beforeAutospacing="1" w:after="100" w:afterAutospacing="1"/>
    </w:pPr>
    <w:rPr>
      <w:color w:val="000000"/>
    </w:rPr>
  </w:style>
  <w:style w:type="paragraph" w:styleId="NoSpacing">
    <w:name w:val="No Spacing"/>
    <w:uiPriority w:val="1"/>
    <w:qFormat/>
    <w:rsid w:val="001B7E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mktable">
    <w:name w:val="tv_html mk_table"/>
    <w:basedOn w:val="Normal"/>
    <w:rsid w:val="00533FC4"/>
    <w:pPr>
      <w:spacing w:before="100" w:beforeAutospacing="1" w:after="100" w:afterAutospacing="1"/>
    </w:pPr>
  </w:style>
  <w:style w:type="paragraph" w:styleId="Header">
    <w:name w:val="header"/>
    <w:basedOn w:val="Normal"/>
    <w:link w:val="HeaderChar"/>
    <w:rsid w:val="00533FC4"/>
    <w:pPr>
      <w:tabs>
        <w:tab w:val="center" w:pos="4153"/>
        <w:tab w:val="right" w:pos="8306"/>
      </w:tabs>
    </w:pPr>
    <w:rPr>
      <w:rFonts w:ascii="Dutch TL" w:hAnsi="Dutch TL"/>
      <w:sz w:val="28"/>
      <w:szCs w:val="20"/>
      <w:lang w:eastAsia="zh-TW"/>
    </w:rPr>
  </w:style>
  <w:style w:type="paragraph" w:styleId="Footer">
    <w:name w:val="footer"/>
    <w:basedOn w:val="Normal"/>
    <w:rsid w:val="00744834"/>
    <w:pPr>
      <w:tabs>
        <w:tab w:val="center" w:pos="4153"/>
        <w:tab w:val="right" w:pos="8306"/>
      </w:tabs>
    </w:pPr>
  </w:style>
  <w:style w:type="paragraph" w:styleId="BalloonText">
    <w:name w:val="Balloon Text"/>
    <w:basedOn w:val="Normal"/>
    <w:semiHidden/>
    <w:rsid w:val="00B2098B"/>
    <w:rPr>
      <w:rFonts w:ascii="Tahoma" w:hAnsi="Tahoma" w:cs="Tahoma"/>
      <w:sz w:val="16"/>
      <w:szCs w:val="16"/>
    </w:rPr>
  </w:style>
  <w:style w:type="character" w:styleId="CommentReference">
    <w:name w:val="annotation reference"/>
    <w:semiHidden/>
    <w:rsid w:val="00B41BA4"/>
    <w:rPr>
      <w:sz w:val="16"/>
      <w:szCs w:val="16"/>
    </w:rPr>
  </w:style>
  <w:style w:type="paragraph" w:styleId="CommentText">
    <w:name w:val="annotation text"/>
    <w:basedOn w:val="Normal"/>
    <w:semiHidden/>
    <w:rsid w:val="00B41BA4"/>
    <w:rPr>
      <w:sz w:val="20"/>
      <w:szCs w:val="20"/>
    </w:rPr>
  </w:style>
  <w:style w:type="paragraph" w:styleId="CommentSubject">
    <w:name w:val="annotation subject"/>
    <w:basedOn w:val="CommentText"/>
    <w:next w:val="CommentText"/>
    <w:semiHidden/>
    <w:rsid w:val="00B41BA4"/>
    <w:rPr>
      <w:b/>
      <w:bCs/>
    </w:rPr>
  </w:style>
  <w:style w:type="character" w:styleId="PageNumber">
    <w:name w:val="page number"/>
    <w:basedOn w:val="DefaultParagraphFont"/>
    <w:rsid w:val="003D39DE"/>
  </w:style>
  <w:style w:type="character" w:customStyle="1" w:styleId="HeaderChar">
    <w:name w:val="Header Char"/>
    <w:link w:val="Header"/>
    <w:rsid w:val="000009A5"/>
    <w:rPr>
      <w:rFonts w:ascii="Dutch TL" w:hAnsi="Dutch TL"/>
      <w:sz w:val="28"/>
      <w:lang w:eastAsia="zh-TW"/>
    </w:rPr>
  </w:style>
  <w:style w:type="paragraph" w:styleId="ListParagraph">
    <w:name w:val="List Paragraph"/>
    <w:basedOn w:val="Normal"/>
    <w:uiPriority w:val="34"/>
    <w:qFormat/>
    <w:rsid w:val="004A398B"/>
    <w:pPr>
      <w:ind w:left="720"/>
      <w:contextualSpacing/>
    </w:pPr>
  </w:style>
  <w:style w:type="paragraph" w:styleId="Title">
    <w:name w:val="Title"/>
    <w:basedOn w:val="Normal"/>
    <w:link w:val="TitleChar"/>
    <w:qFormat/>
    <w:rsid w:val="00B1681B"/>
    <w:pPr>
      <w:jc w:val="center"/>
    </w:pPr>
    <w:rPr>
      <w:b/>
      <w:sz w:val="32"/>
      <w:szCs w:val="20"/>
      <w:lang w:eastAsia="en-US"/>
    </w:rPr>
  </w:style>
  <w:style w:type="character" w:customStyle="1" w:styleId="TitleChar">
    <w:name w:val="Title Char"/>
    <w:basedOn w:val="DefaultParagraphFont"/>
    <w:link w:val="Title"/>
    <w:rsid w:val="00B1681B"/>
    <w:rPr>
      <w:b/>
      <w:sz w:val="32"/>
      <w:lang w:eastAsia="en-US"/>
    </w:rPr>
  </w:style>
  <w:style w:type="paragraph" w:customStyle="1" w:styleId="naiskr">
    <w:name w:val="naiskr"/>
    <w:basedOn w:val="Normal"/>
    <w:rsid w:val="001B7EFD"/>
    <w:pPr>
      <w:spacing w:before="100" w:beforeAutospacing="1" w:after="100" w:afterAutospacing="1"/>
    </w:pPr>
    <w:rPr>
      <w:color w:val="000000"/>
    </w:rPr>
  </w:style>
  <w:style w:type="paragraph" w:styleId="NoSpacing">
    <w:name w:val="No Spacing"/>
    <w:uiPriority w:val="1"/>
    <w:qFormat/>
    <w:rsid w:val="001B7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82136">
      <w:bodyDiv w:val="1"/>
      <w:marLeft w:val="0"/>
      <w:marRight w:val="0"/>
      <w:marTop w:val="0"/>
      <w:marBottom w:val="0"/>
      <w:divBdr>
        <w:top w:val="none" w:sz="0" w:space="0" w:color="auto"/>
        <w:left w:val="none" w:sz="0" w:space="0" w:color="auto"/>
        <w:bottom w:val="none" w:sz="0" w:space="0" w:color="auto"/>
        <w:right w:val="none" w:sz="0" w:space="0" w:color="auto"/>
      </w:divBdr>
    </w:div>
    <w:div w:id="16723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C7AD-5007-4347-9F32-72F7CEF3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6873</Words>
  <Characters>3919</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AIMAnot_26112013_TA_1957</vt:lpstr>
      <vt:lpstr>AIMAnot_28102013_TA_1957</vt:lpstr>
    </vt:vector>
  </TitlesOfParts>
  <Company>AIM</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AIMAnot_26112013_TA_1957</dc:title>
  <dc:subject>Grozījums Ministru kabineta 2004.gada 6.janvāra noteikumos Nr.21 „Valsts noslēpuma, Ziemeļatlantijas līguma organizācijas, Eiropas Savienības un ārvalstu institūciju klasificētās informācijas aizsardzības noteikumi” (anotācija)</dc:subject>
  <dc:creator>Elvīra Šmukste</dc:creator>
  <dc:description>Elvīra Šmukste
elvira.smukste@mod.gov.lv
tel:.67335298   fakss:67212307</dc:description>
  <cp:lastModifiedBy>Laimdota Adlere</cp:lastModifiedBy>
  <cp:revision>4</cp:revision>
  <cp:lastPrinted>2013-11-28T07:31:00Z</cp:lastPrinted>
  <dcterms:created xsi:type="dcterms:W3CDTF">2013-12-12T14:34:00Z</dcterms:created>
  <dcterms:modified xsi:type="dcterms:W3CDTF">2013-12-12T14:35:00Z</dcterms:modified>
</cp:coreProperties>
</file>